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1677" w14:textId="76724693" w:rsidR="00FE3106" w:rsidRDefault="00EC2E2C" w:rsidP="00E66F42">
      <w:pPr>
        <w:tabs>
          <w:tab w:val="left" w:pos="6379"/>
        </w:tabs>
        <w:spacing w:after="0" w:line="240" w:lineRule="auto"/>
        <w:jc w:val="right"/>
        <w:rPr>
          <w:b/>
          <w:i/>
          <w:color w:val="808080" w:themeColor="background1" w:themeShade="80"/>
          <w:sz w:val="28"/>
          <w:szCs w:val="24"/>
        </w:rPr>
      </w:pPr>
      <w:r>
        <w:rPr>
          <w:rFonts w:ascii="Calibri" w:eastAsia="Times New Roman" w:hAnsi="Calibri" w:cs="Arial"/>
          <w:b/>
          <w:i/>
          <w:noProof/>
          <w:sz w:val="28"/>
          <w:szCs w:val="28"/>
          <w:lang w:eastAsia="fr-FR"/>
        </w:rPr>
        <w:drawing>
          <wp:anchor distT="0" distB="0" distL="114300" distR="114300" simplePos="0" relativeHeight="251658240" behindDoc="1" locked="0" layoutInCell="1" allowOverlap="1" wp14:anchorId="5EC764F5" wp14:editId="2C6A28B1">
            <wp:simplePos x="0" y="0"/>
            <wp:positionH relativeFrom="column">
              <wp:posOffset>1512570</wp:posOffset>
            </wp:positionH>
            <wp:positionV relativeFrom="paragraph">
              <wp:posOffset>0</wp:posOffset>
            </wp:positionV>
            <wp:extent cx="2952750" cy="1277620"/>
            <wp:effectExtent l="0" t="0" r="0" b="0"/>
            <wp:wrapTight wrapText="bothSides">
              <wp:wrapPolygon edited="0">
                <wp:start x="0" y="0"/>
                <wp:lineTo x="0" y="21256"/>
                <wp:lineTo x="21461" y="21256"/>
                <wp:lineTo x="2146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1277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7A90E5" w14:textId="7648506A" w:rsidR="00D221DB" w:rsidRDefault="00D221DB" w:rsidP="005E38E8">
      <w:pPr>
        <w:spacing w:after="0" w:line="20" w:lineRule="atLeast"/>
        <w:rPr>
          <w:rFonts w:ascii="Arial" w:eastAsia="Times New Roman" w:hAnsi="Arial" w:cs="Arial"/>
          <w:caps/>
          <w:lang w:eastAsia="fr-FR"/>
        </w:rPr>
      </w:pPr>
    </w:p>
    <w:p w14:paraId="5B091EBD" w14:textId="77777777" w:rsidR="00EC2E2C" w:rsidRDefault="00EC2E2C" w:rsidP="00775647">
      <w:pPr>
        <w:spacing w:before="120" w:after="120" w:line="259" w:lineRule="auto"/>
        <w:jc w:val="center"/>
        <w:rPr>
          <w:rFonts w:ascii="Calibri" w:eastAsia="Times New Roman" w:hAnsi="Calibri" w:cs="Arial"/>
          <w:b/>
          <w:i/>
          <w:sz w:val="28"/>
          <w:szCs w:val="28"/>
          <w:lang w:eastAsia="fr-FR"/>
        </w:rPr>
      </w:pPr>
    </w:p>
    <w:p w14:paraId="2D7583F7" w14:textId="77777777" w:rsidR="00EC2E2C" w:rsidRDefault="00EC2E2C" w:rsidP="00775647">
      <w:pPr>
        <w:spacing w:before="120" w:after="120" w:line="259" w:lineRule="auto"/>
        <w:jc w:val="center"/>
        <w:rPr>
          <w:rFonts w:ascii="Calibri" w:eastAsia="Times New Roman" w:hAnsi="Calibri" w:cs="Arial"/>
          <w:b/>
          <w:i/>
          <w:sz w:val="28"/>
          <w:szCs w:val="28"/>
          <w:lang w:eastAsia="fr-FR"/>
        </w:rPr>
      </w:pPr>
    </w:p>
    <w:p w14:paraId="1211A1D6" w14:textId="77777777" w:rsidR="00EC2E2C" w:rsidRDefault="00EC2E2C" w:rsidP="00775647">
      <w:pPr>
        <w:spacing w:before="120" w:after="120" w:line="259" w:lineRule="auto"/>
        <w:jc w:val="center"/>
        <w:rPr>
          <w:rFonts w:ascii="Calibri" w:eastAsia="Times New Roman" w:hAnsi="Calibri" w:cs="Arial"/>
          <w:b/>
          <w:i/>
          <w:sz w:val="28"/>
          <w:szCs w:val="28"/>
          <w:lang w:eastAsia="fr-FR"/>
        </w:rPr>
      </w:pPr>
    </w:p>
    <w:p w14:paraId="4269C5B0" w14:textId="25955D3C" w:rsidR="00775647" w:rsidRDefault="00775647" w:rsidP="00775647">
      <w:pPr>
        <w:spacing w:before="120" w:after="120" w:line="259" w:lineRule="auto"/>
        <w:jc w:val="center"/>
        <w:rPr>
          <w:rFonts w:ascii="Calibri" w:eastAsia="Times New Roman" w:hAnsi="Calibri" w:cs="Arial"/>
          <w:b/>
          <w:i/>
          <w:sz w:val="28"/>
          <w:szCs w:val="28"/>
          <w:lang w:eastAsia="fr-FR"/>
        </w:rPr>
      </w:pPr>
      <w:r>
        <w:rPr>
          <w:rFonts w:ascii="Calibri" w:eastAsia="Times New Roman" w:hAnsi="Calibri" w:cs="Arial"/>
          <w:b/>
          <w:i/>
          <w:sz w:val="28"/>
          <w:szCs w:val="28"/>
          <w:lang w:eastAsia="fr-FR"/>
        </w:rPr>
        <w:t>Motion de l</w:t>
      </w:r>
      <w:r w:rsidR="00AA3013">
        <w:rPr>
          <w:rFonts w:ascii="Calibri" w:eastAsia="Times New Roman" w:hAnsi="Calibri" w:cs="Arial"/>
          <w:b/>
          <w:i/>
          <w:sz w:val="28"/>
          <w:szCs w:val="28"/>
          <w:lang w:eastAsia="fr-FR"/>
        </w:rPr>
        <w:t xml:space="preserve">’ADM64 </w:t>
      </w:r>
      <w:r w:rsidR="00042380">
        <w:rPr>
          <w:rFonts w:ascii="Calibri" w:eastAsia="Times New Roman" w:hAnsi="Calibri" w:cs="Arial"/>
          <w:b/>
          <w:i/>
          <w:sz w:val="28"/>
          <w:szCs w:val="28"/>
          <w:lang w:eastAsia="fr-FR"/>
        </w:rPr>
        <w:t>adoptée lors de l’AG du 17 septembre 2022</w:t>
      </w:r>
    </w:p>
    <w:p w14:paraId="06EF331F" w14:textId="6F686520" w:rsidR="00930632" w:rsidRPr="0086488A" w:rsidRDefault="00775647" w:rsidP="0086488A">
      <w:pPr>
        <w:spacing w:before="120" w:after="120" w:line="259" w:lineRule="auto"/>
        <w:jc w:val="center"/>
        <w:rPr>
          <w:rFonts w:ascii="Calibri" w:eastAsia="Times New Roman" w:hAnsi="Calibri" w:cs="Arial"/>
          <w:b/>
          <w:i/>
          <w:color w:val="548DD4" w:themeColor="text2" w:themeTint="99"/>
          <w:sz w:val="36"/>
          <w:szCs w:val="36"/>
          <w:lang w:eastAsia="fr-FR"/>
        </w:rPr>
      </w:pPr>
      <w:r w:rsidRPr="0086488A">
        <w:rPr>
          <w:rFonts w:ascii="Calibri" w:eastAsia="Times New Roman" w:hAnsi="Calibri" w:cs="Arial"/>
          <w:b/>
          <w:i/>
          <w:color w:val="548DD4" w:themeColor="text2" w:themeTint="99"/>
          <w:sz w:val="36"/>
          <w:szCs w:val="36"/>
          <w:lang w:eastAsia="fr-FR"/>
        </w:rPr>
        <w:t xml:space="preserve">Pour </w:t>
      </w:r>
      <w:r w:rsidR="00517789">
        <w:rPr>
          <w:rFonts w:ascii="Calibri" w:eastAsia="Times New Roman" w:hAnsi="Calibri" w:cs="Arial"/>
          <w:b/>
          <w:i/>
          <w:color w:val="548DD4" w:themeColor="text2" w:themeTint="99"/>
          <w:sz w:val="36"/>
          <w:szCs w:val="36"/>
          <w:lang w:eastAsia="fr-FR"/>
        </w:rPr>
        <w:t>l’adoption de</w:t>
      </w:r>
      <w:r w:rsidR="00AA3013" w:rsidRPr="0086488A">
        <w:rPr>
          <w:rFonts w:ascii="Calibri" w:eastAsia="Times New Roman" w:hAnsi="Calibri" w:cs="Arial"/>
          <w:b/>
          <w:i/>
          <w:color w:val="548DD4" w:themeColor="text2" w:themeTint="99"/>
          <w:sz w:val="36"/>
          <w:szCs w:val="36"/>
          <w:lang w:eastAsia="fr-FR"/>
        </w:rPr>
        <w:t xml:space="preserve"> mesures </w:t>
      </w:r>
      <w:r w:rsidRPr="0086488A">
        <w:rPr>
          <w:b/>
          <w:i/>
          <w:color w:val="548DD4" w:themeColor="text2" w:themeTint="99"/>
          <w:sz w:val="36"/>
          <w:szCs w:val="36"/>
        </w:rPr>
        <w:t>financ</w:t>
      </w:r>
      <w:r w:rsidR="00517789">
        <w:rPr>
          <w:b/>
          <w:i/>
          <w:color w:val="548DD4" w:themeColor="text2" w:themeTint="99"/>
          <w:sz w:val="36"/>
          <w:szCs w:val="36"/>
        </w:rPr>
        <w:t>ières et fiscal</w:t>
      </w:r>
      <w:r w:rsidRPr="0086488A">
        <w:rPr>
          <w:b/>
          <w:i/>
          <w:color w:val="548DD4" w:themeColor="text2" w:themeTint="99"/>
          <w:sz w:val="36"/>
          <w:szCs w:val="36"/>
        </w:rPr>
        <w:t>es</w:t>
      </w:r>
      <w:r w:rsidR="00517789">
        <w:rPr>
          <w:b/>
          <w:i/>
          <w:color w:val="548DD4" w:themeColor="text2" w:themeTint="99"/>
          <w:sz w:val="36"/>
          <w:szCs w:val="36"/>
        </w:rPr>
        <w:t xml:space="preserve"> nécessaires à </w:t>
      </w:r>
      <w:r w:rsidR="00AA3013" w:rsidRPr="0086488A">
        <w:rPr>
          <w:rFonts w:ascii="Calibri" w:eastAsia="Times New Roman" w:hAnsi="Calibri" w:cs="Arial"/>
          <w:b/>
          <w:i/>
          <w:color w:val="548DD4" w:themeColor="text2" w:themeTint="99"/>
          <w:sz w:val="36"/>
          <w:szCs w:val="36"/>
          <w:lang w:eastAsia="fr-FR"/>
        </w:rPr>
        <w:t xml:space="preserve">la survie des </w:t>
      </w:r>
      <w:r w:rsidR="00517789">
        <w:rPr>
          <w:rFonts w:ascii="Calibri" w:eastAsia="Times New Roman" w:hAnsi="Calibri" w:cs="Arial"/>
          <w:b/>
          <w:i/>
          <w:color w:val="548DD4" w:themeColor="text2" w:themeTint="99"/>
          <w:sz w:val="36"/>
          <w:szCs w:val="36"/>
          <w:lang w:eastAsia="fr-FR"/>
        </w:rPr>
        <w:t>collectivités</w:t>
      </w:r>
    </w:p>
    <w:p w14:paraId="150B6EB1" w14:textId="1C34E30C" w:rsidR="007236F1" w:rsidRDefault="00AA3013" w:rsidP="007236F1">
      <w:pPr>
        <w:spacing w:before="120" w:after="120" w:line="259" w:lineRule="auto"/>
        <w:jc w:val="both"/>
        <w:rPr>
          <w:rFonts w:eastAsia="Times New Roman" w:cs="Arial"/>
          <w:bCs/>
          <w:lang w:eastAsia="fr-FR"/>
        </w:rPr>
      </w:pPr>
      <w:r w:rsidRPr="00AA3013">
        <w:rPr>
          <w:rFonts w:eastAsia="Times New Roman" w:cs="Arial"/>
          <w:bCs/>
          <w:lang w:eastAsia="fr-FR"/>
        </w:rPr>
        <w:t>D</w:t>
      </w:r>
      <w:r>
        <w:rPr>
          <w:rFonts w:eastAsia="Times New Roman" w:cs="Arial"/>
          <w:bCs/>
          <w:lang w:eastAsia="fr-FR"/>
        </w:rPr>
        <w:t>ans un contexte économique particulièrement</w:t>
      </w:r>
      <w:r w:rsidR="00D266CC">
        <w:rPr>
          <w:rFonts w:eastAsia="Times New Roman" w:cs="Arial"/>
          <w:bCs/>
          <w:lang w:eastAsia="fr-FR"/>
        </w:rPr>
        <w:t xml:space="preserve"> difficile</w:t>
      </w:r>
      <w:r w:rsidR="007236F1">
        <w:rPr>
          <w:rFonts w:eastAsia="Times New Roman" w:cs="Arial"/>
          <w:bCs/>
          <w:lang w:eastAsia="fr-FR"/>
        </w:rPr>
        <w:t xml:space="preserve"> pour les collectivités</w:t>
      </w:r>
      <w:r w:rsidR="00D266CC">
        <w:rPr>
          <w:rFonts w:eastAsia="Times New Roman" w:cs="Arial"/>
          <w:bCs/>
          <w:lang w:eastAsia="fr-FR"/>
        </w:rPr>
        <w:t> :</w:t>
      </w:r>
      <w:r w:rsidR="006F2787">
        <w:rPr>
          <w:rFonts w:eastAsia="Times New Roman" w:cs="Arial"/>
          <w:bCs/>
          <w:lang w:eastAsia="fr-FR"/>
        </w:rPr>
        <w:t xml:space="preserve"> </w:t>
      </w:r>
      <w:r w:rsidR="00D266CC">
        <w:rPr>
          <w:rFonts w:eastAsia="Times New Roman" w:cs="Arial"/>
          <w:bCs/>
          <w:lang w:eastAsia="fr-FR"/>
        </w:rPr>
        <w:t>hausse des prix de l’énergie, augmentation du point d’</w:t>
      </w:r>
      <w:r w:rsidR="00EC2E2C">
        <w:rPr>
          <w:rFonts w:eastAsia="Times New Roman" w:cs="Arial"/>
          <w:bCs/>
          <w:lang w:eastAsia="fr-FR"/>
        </w:rPr>
        <w:t>indice de la fonction publique</w:t>
      </w:r>
      <w:r w:rsidR="00D266CC">
        <w:rPr>
          <w:rFonts w:eastAsia="Times New Roman" w:cs="Arial"/>
          <w:bCs/>
          <w:lang w:eastAsia="fr-FR"/>
        </w:rPr>
        <w:t>,</w:t>
      </w:r>
      <w:r w:rsidR="004606D2">
        <w:rPr>
          <w:rFonts w:eastAsia="Times New Roman" w:cs="Arial"/>
          <w:bCs/>
          <w:lang w:eastAsia="fr-FR"/>
        </w:rPr>
        <w:t xml:space="preserve"> hausse des </w:t>
      </w:r>
      <w:r w:rsidR="003D65C5">
        <w:rPr>
          <w:rFonts w:eastAsia="Times New Roman" w:cs="Arial"/>
          <w:bCs/>
          <w:lang w:eastAsia="fr-FR"/>
        </w:rPr>
        <w:t>prix des matériaux de</w:t>
      </w:r>
      <w:r w:rsidR="004606D2">
        <w:rPr>
          <w:rFonts w:eastAsia="Times New Roman" w:cs="Arial"/>
          <w:bCs/>
          <w:lang w:eastAsia="fr-FR"/>
        </w:rPr>
        <w:t xml:space="preserve"> travaux publics… L</w:t>
      </w:r>
      <w:r w:rsidR="00D266CC">
        <w:rPr>
          <w:rFonts w:eastAsia="Times New Roman" w:cs="Arial"/>
          <w:bCs/>
          <w:lang w:eastAsia="fr-FR"/>
        </w:rPr>
        <w:t xml:space="preserve">es collectivités territoriales se retrouvent à nouveau </w:t>
      </w:r>
      <w:r w:rsidR="004606D2">
        <w:rPr>
          <w:rFonts w:eastAsia="Times New Roman" w:cs="Arial"/>
          <w:bCs/>
          <w:lang w:eastAsia="fr-FR"/>
        </w:rPr>
        <w:t>confront</w:t>
      </w:r>
      <w:r w:rsidR="008F4922">
        <w:rPr>
          <w:rFonts w:eastAsia="Times New Roman" w:cs="Arial"/>
          <w:bCs/>
          <w:lang w:eastAsia="fr-FR"/>
        </w:rPr>
        <w:t>ées</w:t>
      </w:r>
      <w:r w:rsidR="004606D2">
        <w:rPr>
          <w:rFonts w:eastAsia="Times New Roman" w:cs="Arial"/>
          <w:bCs/>
          <w:lang w:eastAsia="fr-FR"/>
        </w:rPr>
        <w:t xml:space="preserve"> à une hausse de leurs dépenses de fonctionnement et d’investissement sans perspective de recettes</w:t>
      </w:r>
      <w:r w:rsidR="003D65C5">
        <w:rPr>
          <w:rFonts w:eastAsia="Times New Roman" w:cs="Arial"/>
          <w:bCs/>
          <w:lang w:eastAsia="fr-FR"/>
        </w:rPr>
        <w:t xml:space="preserve"> nouvelles</w:t>
      </w:r>
      <w:r w:rsidR="004606D2">
        <w:rPr>
          <w:rFonts w:eastAsia="Times New Roman" w:cs="Arial"/>
          <w:bCs/>
          <w:lang w:eastAsia="fr-FR"/>
        </w:rPr>
        <w:t>.</w:t>
      </w:r>
    </w:p>
    <w:p w14:paraId="5351D3FD" w14:textId="2CA8E3E2" w:rsidR="007236F1" w:rsidRDefault="004606D2" w:rsidP="007236F1">
      <w:pPr>
        <w:spacing w:before="120" w:after="120" w:line="259" w:lineRule="auto"/>
        <w:jc w:val="both"/>
      </w:pPr>
      <w:r>
        <w:t>En effet, l</w:t>
      </w:r>
      <w:r w:rsidR="00775647">
        <w:t xml:space="preserve">es réformes et suppressions de taxes locales actuelles et à venir impactent fortement les recettes des collectivités (taxe d’habitation, taxe d’aménagement, Cotisation sur les valeurs ajoutées des entreprises…). Plus que jamais des actions sont nécessaires afin de permettre aux collectivités de maintenir </w:t>
      </w:r>
      <w:r w:rsidR="001A2BB7">
        <w:t>leur</w:t>
      </w:r>
      <w:r w:rsidR="003D65C5">
        <w:t xml:space="preserve"> fiscalité et</w:t>
      </w:r>
      <w:r w:rsidR="001A2BB7">
        <w:t xml:space="preserve"> finances locales</w:t>
      </w:r>
      <w:r w:rsidR="00775647">
        <w:t>.</w:t>
      </w:r>
      <w:r w:rsidR="007236F1">
        <w:t xml:space="preserve"> </w:t>
      </w:r>
    </w:p>
    <w:p w14:paraId="2919B7AA" w14:textId="77777777" w:rsidR="007236F1" w:rsidRDefault="00775647" w:rsidP="007236F1">
      <w:pPr>
        <w:spacing w:before="120" w:after="120" w:line="259" w:lineRule="auto"/>
        <w:jc w:val="both"/>
      </w:pPr>
      <w:r>
        <w:rPr>
          <w:rFonts w:eastAsia="Times New Roman"/>
        </w:rPr>
        <w:t xml:space="preserve">La réforme des </w:t>
      </w:r>
      <w:r w:rsidRPr="003F7ED2">
        <w:rPr>
          <w:rFonts w:eastAsia="Times New Roman"/>
        </w:rPr>
        <w:t>critères de la D</w:t>
      </w:r>
      <w:r>
        <w:rPr>
          <w:rFonts w:eastAsia="Times New Roman"/>
        </w:rPr>
        <w:t>otation</w:t>
      </w:r>
      <w:r w:rsidRPr="003F7ED2">
        <w:rPr>
          <w:rFonts w:eastAsia="Times New Roman"/>
        </w:rPr>
        <w:t xml:space="preserve"> </w:t>
      </w:r>
      <w:r>
        <w:rPr>
          <w:rFonts w:eastAsia="Times New Roman"/>
        </w:rPr>
        <w:t>G</w:t>
      </w:r>
      <w:r w:rsidRPr="003F7ED2">
        <w:rPr>
          <w:rFonts w:eastAsia="Times New Roman"/>
        </w:rPr>
        <w:t xml:space="preserve">lobale de </w:t>
      </w:r>
      <w:r>
        <w:rPr>
          <w:rFonts w:eastAsia="Times New Roman"/>
        </w:rPr>
        <w:t>F</w:t>
      </w:r>
      <w:r w:rsidRPr="003F7ED2">
        <w:rPr>
          <w:rFonts w:eastAsia="Times New Roman"/>
        </w:rPr>
        <w:t xml:space="preserve">onctionnement (DGF) </w:t>
      </w:r>
      <w:r>
        <w:rPr>
          <w:rFonts w:eastAsia="Times New Roman"/>
        </w:rPr>
        <w:t xml:space="preserve">qui </w:t>
      </w:r>
      <w:r w:rsidRPr="003F7ED2">
        <w:rPr>
          <w:rFonts w:eastAsia="Times New Roman"/>
        </w:rPr>
        <w:t>constitue la principale dotation de fonctionnement de l'État aux collectivités territoriales</w:t>
      </w:r>
      <w:r>
        <w:rPr>
          <w:rFonts w:eastAsia="Times New Roman"/>
        </w:rPr>
        <w:t xml:space="preserve"> ne peut se faire sans concertation avec les élus locaux.</w:t>
      </w:r>
    </w:p>
    <w:p w14:paraId="72181BFA" w14:textId="0AD1394C" w:rsidR="007236F1" w:rsidRDefault="003D65C5" w:rsidP="007236F1">
      <w:pPr>
        <w:spacing w:before="120" w:after="120" w:line="259" w:lineRule="auto"/>
        <w:jc w:val="both"/>
        <w:rPr>
          <w:rFonts w:eastAsia="Times New Roman"/>
        </w:rPr>
      </w:pPr>
      <w:r>
        <w:rPr>
          <w:rFonts w:eastAsia="Times New Roman"/>
        </w:rPr>
        <w:t>De plus, l</w:t>
      </w:r>
      <w:r w:rsidR="00775647">
        <w:rPr>
          <w:rFonts w:eastAsia="Times New Roman"/>
        </w:rPr>
        <w:t xml:space="preserve">es dotations actuelles </w:t>
      </w:r>
      <w:r w:rsidR="007236F1">
        <w:rPr>
          <w:rFonts w:eastAsia="Times New Roman"/>
        </w:rPr>
        <w:t>indispensables à la réalisation des projets d’</w:t>
      </w:r>
      <w:r w:rsidR="00775647">
        <w:rPr>
          <w:rFonts w:eastAsia="Times New Roman"/>
        </w:rPr>
        <w:t xml:space="preserve">investissement </w:t>
      </w:r>
      <w:r w:rsidR="007236F1">
        <w:rPr>
          <w:rFonts w:eastAsia="Times New Roman"/>
        </w:rPr>
        <w:t xml:space="preserve">publics locaux </w:t>
      </w:r>
      <w:r w:rsidR="00775647">
        <w:rPr>
          <w:rFonts w:eastAsia="Times New Roman"/>
        </w:rPr>
        <w:t xml:space="preserve">(DETR, DSIL) </w:t>
      </w:r>
      <w:r w:rsidR="007236F1">
        <w:rPr>
          <w:rFonts w:eastAsia="Times New Roman"/>
        </w:rPr>
        <w:t xml:space="preserve">sont </w:t>
      </w:r>
      <w:r w:rsidR="00775647">
        <w:rPr>
          <w:rFonts w:eastAsia="Times New Roman"/>
        </w:rPr>
        <w:t xml:space="preserve">en forte baisse </w:t>
      </w:r>
      <w:r w:rsidR="007236F1">
        <w:rPr>
          <w:rFonts w:eastAsia="Times New Roman"/>
        </w:rPr>
        <w:t>et font</w:t>
      </w:r>
      <w:r w:rsidR="00775647">
        <w:rPr>
          <w:rFonts w:eastAsia="Times New Roman"/>
        </w:rPr>
        <w:t xml:space="preserve"> également face à une révision de leurs critères d’attribution</w:t>
      </w:r>
      <w:r>
        <w:rPr>
          <w:rFonts w:eastAsia="Times New Roman"/>
        </w:rPr>
        <w:t xml:space="preserve"> avec la fin des financements du plan de relance.</w:t>
      </w:r>
    </w:p>
    <w:p w14:paraId="178FE1AB" w14:textId="3A28A8D5" w:rsidR="003D65C5" w:rsidRDefault="00B323A0" w:rsidP="007236F1">
      <w:pPr>
        <w:spacing w:before="120" w:after="120" w:line="259" w:lineRule="auto"/>
        <w:jc w:val="both"/>
        <w:rPr>
          <w:rFonts w:eastAsia="Times New Roman"/>
        </w:rPr>
      </w:pPr>
      <w:r>
        <w:rPr>
          <w:rFonts w:eastAsia="Times New Roman"/>
        </w:rPr>
        <w:t xml:space="preserve">Considérant enfin </w:t>
      </w:r>
      <w:r w:rsidR="003D65C5">
        <w:rPr>
          <w:rFonts w:eastAsia="Times New Roman"/>
        </w:rPr>
        <w:t xml:space="preserve">l’objectif de </w:t>
      </w:r>
      <w:r w:rsidR="00111BA1" w:rsidRPr="000709D5">
        <w:t>Zéro Artificialisation Nette (ZAN)</w:t>
      </w:r>
      <w:r w:rsidR="00111BA1">
        <w:t xml:space="preserve"> </w:t>
      </w:r>
      <w:r>
        <w:rPr>
          <w:rFonts w:eastAsia="Times New Roman"/>
        </w:rPr>
        <w:t>auquel les collectivités doivent répondre et qui engendrera inévitablement des conséquences sur le développement des territoires et les recettes financières inhérentes aux territoires attractifs,</w:t>
      </w:r>
    </w:p>
    <w:p w14:paraId="52D62496" w14:textId="3BAEB207" w:rsidR="00D266CC" w:rsidRPr="007236F1" w:rsidRDefault="00D266CC" w:rsidP="007236F1">
      <w:pPr>
        <w:spacing w:before="120" w:after="120" w:line="259" w:lineRule="auto"/>
        <w:jc w:val="both"/>
      </w:pPr>
      <w:r>
        <w:t xml:space="preserve">Parce que deux grands rendez-vous </w:t>
      </w:r>
      <w:r w:rsidR="009561AA">
        <w:t xml:space="preserve">attendent </w:t>
      </w:r>
      <w:r>
        <w:t>l’</w:t>
      </w:r>
      <w:r w:rsidR="009561AA">
        <w:t>État</w:t>
      </w:r>
      <w:r>
        <w:t xml:space="preserve"> </w:t>
      </w:r>
      <w:r w:rsidR="009561AA">
        <w:t>et</w:t>
      </w:r>
      <w:r>
        <w:t xml:space="preserve"> les parlementaires</w:t>
      </w:r>
      <w:r w:rsidR="009561AA">
        <w:t> </w:t>
      </w:r>
      <w:r w:rsidR="003D65C5">
        <w:t>avec</w:t>
      </w:r>
      <w:r w:rsidR="009561AA">
        <w:t xml:space="preserve"> le</w:t>
      </w:r>
      <w:r w:rsidR="003D65C5">
        <w:t>s</w:t>
      </w:r>
      <w:r w:rsidR="009561AA">
        <w:t xml:space="preserve"> vote</w:t>
      </w:r>
      <w:r w:rsidR="003D65C5">
        <w:t>s d</w:t>
      </w:r>
      <w:r w:rsidR="00B323A0">
        <w:t>è</w:t>
      </w:r>
      <w:r w:rsidR="003D65C5">
        <w:t>s</w:t>
      </w:r>
      <w:r>
        <w:t xml:space="preserve"> cet automne</w:t>
      </w:r>
      <w:r w:rsidR="00775647">
        <w:t xml:space="preserve"> </w:t>
      </w:r>
      <w:r w:rsidR="009561AA">
        <w:t xml:space="preserve">de </w:t>
      </w:r>
      <w:r w:rsidR="003D65C5">
        <w:rPr>
          <w:rFonts w:eastAsia="Times New Roman"/>
        </w:rPr>
        <w:t>l</w:t>
      </w:r>
      <w:r>
        <w:rPr>
          <w:rFonts w:eastAsia="Times New Roman"/>
        </w:rPr>
        <w:t>a loi de finances pour 2023</w:t>
      </w:r>
      <w:r w:rsidR="00775647">
        <w:rPr>
          <w:rFonts w:eastAsia="Times New Roman"/>
        </w:rPr>
        <w:t xml:space="preserve"> et</w:t>
      </w:r>
      <w:r w:rsidR="00B323A0">
        <w:rPr>
          <w:rFonts w:eastAsia="Times New Roman"/>
        </w:rPr>
        <w:t xml:space="preserve"> de l</w:t>
      </w:r>
      <w:r>
        <w:rPr>
          <w:rFonts w:eastAsia="Times New Roman"/>
        </w:rPr>
        <w:t>a loi de programmation des finances publiques 2023-2027</w:t>
      </w:r>
      <w:r w:rsidR="009561AA">
        <w:rPr>
          <w:rFonts w:eastAsia="Times New Roman"/>
        </w:rPr>
        <w:t xml:space="preserve">, </w:t>
      </w:r>
      <w:r w:rsidR="003D65C5">
        <w:rPr>
          <w:rFonts w:eastAsia="Times New Roman"/>
        </w:rPr>
        <w:t>c’est pourquoi</w:t>
      </w:r>
      <w:r w:rsidR="008F4922">
        <w:t> :</w:t>
      </w:r>
    </w:p>
    <w:p w14:paraId="2188E0B7" w14:textId="1E609B29" w:rsidR="00467E74" w:rsidRDefault="008F4922" w:rsidP="0082295C">
      <w:pPr>
        <w:spacing w:before="120" w:after="120" w:line="259" w:lineRule="auto"/>
        <w:jc w:val="both"/>
        <w:rPr>
          <w:rFonts w:eastAsia="Times New Roman" w:cs="Arial"/>
          <w:b/>
          <w:color w:val="0070C0"/>
          <w:lang w:eastAsia="fr-FR"/>
        </w:rPr>
      </w:pPr>
      <w:r w:rsidRPr="008F4922">
        <w:rPr>
          <w:rFonts w:ascii="Calibri" w:eastAsia="Times New Roman" w:hAnsi="Calibri"/>
          <w:b/>
          <w:color w:val="0070C0"/>
        </w:rPr>
        <w:t>L’ADM64</w:t>
      </w:r>
      <w:r>
        <w:rPr>
          <w:rFonts w:ascii="Calibri" w:eastAsia="Times New Roman" w:hAnsi="Calibri"/>
          <w:b/>
          <w:color w:val="0070C0"/>
        </w:rPr>
        <w:t>,</w:t>
      </w:r>
      <w:r w:rsidRPr="008F4922">
        <w:rPr>
          <w:rFonts w:eastAsia="Times New Roman" w:cs="Arial"/>
          <w:b/>
          <w:color w:val="0070C0"/>
          <w:lang w:eastAsia="fr-FR"/>
        </w:rPr>
        <w:t xml:space="preserve"> </w:t>
      </w:r>
      <w:r w:rsidRPr="008F4922">
        <w:rPr>
          <w:b/>
          <w:color w:val="0070C0"/>
        </w:rPr>
        <w:t xml:space="preserve">à l’occasion de </w:t>
      </w:r>
      <w:r>
        <w:rPr>
          <w:b/>
          <w:color w:val="0070C0"/>
        </w:rPr>
        <w:t xml:space="preserve">son </w:t>
      </w:r>
      <w:r w:rsidRPr="008F4922">
        <w:rPr>
          <w:b/>
          <w:color w:val="0070C0"/>
        </w:rPr>
        <w:t>Assemblée Générale ce 17 septembre 2022,</w:t>
      </w:r>
      <w:r w:rsidR="00DF0946" w:rsidRPr="008F4922">
        <w:rPr>
          <w:rFonts w:eastAsia="Times New Roman" w:cs="Arial"/>
          <w:b/>
          <w:color w:val="0070C0"/>
          <w:lang w:eastAsia="fr-FR"/>
        </w:rPr>
        <w:t xml:space="preserve"> </w:t>
      </w:r>
      <w:r w:rsidR="00CC622D">
        <w:rPr>
          <w:rFonts w:eastAsia="Times New Roman" w:cs="Arial"/>
          <w:b/>
          <w:color w:val="0070C0"/>
          <w:lang w:eastAsia="fr-FR"/>
        </w:rPr>
        <w:t>s</w:t>
      </w:r>
      <w:r w:rsidR="00C62683">
        <w:rPr>
          <w:rFonts w:eastAsia="Times New Roman" w:cs="Arial"/>
          <w:b/>
          <w:color w:val="0070C0"/>
          <w:lang w:eastAsia="fr-FR"/>
        </w:rPr>
        <w:t>e joint à</w:t>
      </w:r>
      <w:r w:rsidR="00467E74">
        <w:rPr>
          <w:rFonts w:eastAsia="Times New Roman" w:cs="Arial"/>
          <w:b/>
          <w:color w:val="0070C0"/>
          <w:lang w:eastAsia="fr-FR"/>
        </w:rPr>
        <w:t xml:space="preserve"> l</w:t>
      </w:r>
      <w:r w:rsidR="00976A07" w:rsidRPr="00FA149D">
        <w:rPr>
          <w:rFonts w:eastAsia="Times New Roman" w:cs="Arial"/>
          <w:b/>
          <w:color w:val="0070C0"/>
          <w:lang w:eastAsia="fr-FR"/>
        </w:rPr>
        <w:t xml:space="preserve">’AMF </w:t>
      </w:r>
      <w:r w:rsidR="00C62683">
        <w:rPr>
          <w:rFonts w:eastAsia="Times New Roman" w:cs="Arial"/>
          <w:b/>
          <w:color w:val="0070C0"/>
          <w:lang w:eastAsia="fr-FR"/>
        </w:rPr>
        <w:t xml:space="preserve">et </w:t>
      </w:r>
      <w:r w:rsidR="00BF26A1">
        <w:rPr>
          <w:rFonts w:eastAsia="Times New Roman" w:cs="Arial"/>
          <w:b/>
          <w:color w:val="0070C0"/>
          <w:lang w:eastAsia="fr-FR"/>
        </w:rPr>
        <w:t>DEMANDE</w:t>
      </w:r>
      <w:r w:rsidR="00837F5A">
        <w:rPr>
          <w:rFonts w:eastAsia="Times New Roman" w:cs="Arial"/>
          <w:b/>
          <w:color w:val="0070C0"/>
          <w:lang w:eastAsia="fr-FR"/>
        </w:rPr>
        <w:t xml:space="preserve"> </w:t>
      </w:r>
      <w:r w:rsidR="003D65C5">
        <w:rPr>
          <w:rFonts w:eastAsia="Times New Roman" w:cs="Arial"/>
          <w:b/>
          <w:color w:val="0070C0"/>
          <w:lang w:eastAsia="fr-FR"/>
        </w:rPr>
        <w:t>à</w:t>
      </w:r>
      <w:r w:rsidR="00BF26A1">
        <w:rPr>
          <w:rFonts w:eastAsia="Times New Roman" w:cs="Arial"/>
          <w:b/>
          <w:color w:val="0070C0"/>
          <w:lang w:eastAsia="fr-FR"/>
        </w:rPr>
        <w:t> </w:t>
      </w:r>
      <w:r w:rsidR="00467E74">
        <w:rPr>
          <w:rFonts w:eastAsia="Times New Roman" w:cs="Arial"/>
          <w:b/>
          <w:color w:val="0070C0"/>
          <w:lang w:eastAsia="fr-FR"/>
        </w:rPr>
        <w:t>:</w:t>
      </w:r>
    </w:p>
    <w:p w14:paraId="1B2185A7" w14:textId="538A5EF1" w:rsidR="003C6F51" w:rsidRDefault="003D65C5" w:rsidP="008D1A56">
      <w:pPr>
        <w:pStyle w:val="Paragraphedeliste"/>
        <w:numPr>
          <w:ilvl w:val="0"/>
          <w:numId w:val="26"/>
        </w:numPr>
        <w:spacing w:before="120" w:after="120" w:line="259" w:lineRule="auto"/>
        <w:jc w:val="both"/>
        <w:rPr>
          <w:rFonts w:eastAsia="Times New Roman" w:cs="Arial"/>
          <w:lang w:eastAsia="fr-FR"/>
        </w:rPr>
      </w:pPr>
      <w:r>
        <w:rPr>
          <w:rFonts w:eastAsia="Times New Roman" w:cs="Arial"/>
          <w:lang w:eastAsia="fr-FR"/>
        </w:rPr>
        <w:t>A</w:t>
      </w:r>
      <w:r w:rsidR="00F555F0">
        <w:rPr>
          <w:rFonts w:eastAsia="Times New Roman" w:cs="Arial"/>
          <w:lang w:eastAsia="fr-FR"/>
        </w:rPr>
        <w:t>ppliquer</w:t>
      </w:r>
      <w:r w:rsidR="009A60A8">
        <w:rPr>
          <w:rFonts w:eastAsia="Times New Roman" w:cs="Arial"/>
          <w:lang w:eastAsia="fr-FR"/>
        </w:rPr>
        <w:t xml:space="preserve"> des dispositifs tarifaires sur l’énergie aux collectivités</w:t>
      </w:r>
      <w:r w:rsidR="00F555F0">
        <w:rPr>
          <w:rFonts w:eastAsia="Times New Roman" w:cs="Arial"/>
          <w:lang w:eastAsia="fr-FR"/>
        </w:rPr>
        <w:t xml:space="preserve"> pour préserver la continuité du service public</w:t>
      </w:r>
      <w:r w:rsidR="00B16958">
        <w:rPr>
          <w:rFonts w:eastAsia="Times New Roman" w:cs="Arial"/>
          <w:lang w:eastAsia="fr-FR"/>
        </w:rPr>
        <w:t xml:space="preserve"> et maintenir les budgets des collectivités locales</w:t>
      </w:r>
      <w:r>
        <w:rPr>
          <w:rFonts w:eastAsia="Times New Roman" w:cs="Arial"/>
          <w:lang w:eastAsia="fr-FR"/>
        </w:rPr>
        <w:t>,</w:t>
      </w:r>
    </w:p>
    <w:p w14:paraId="7E693656" w14:textId="00F30256" w:rsidR="00B323A0" w:rsidRDefault="00B323A0" w:rsidP="008D1A56">
      <w:pPr>
        <w:pStyle w:val="Paragraphedeliste"/>
        <w:numPr>
          <w:ilvl w:val="0"/>
          <w:numId w:val="26"/>
        </w:numPr>
        <w:spacing w:before="120" w:after="120" w:line="259" w:lineRule="auto"/>
        <w:jc w:val="both"/>
        <w:rPr>
          <w:rFonts w:eastAsia="Times New Roman" w:cs="Arial"/>
          <w:lang w:eastAsia="fr-FR"/>
        </w:rPr>
      </w:pPr>
      <w:r>
        <w:rPr>
          <w:rFonts w:ascii="Calibri" w:eastAsia="Times New Roman" w:hAnsi="Calibri"/>
        </w:rPr>
        <w:t xml:space="preserve">Compenser de manière </w:t>
      </w:r>
      <w:r w:rsidR="00285A6E">
        <w:rPr>
          <w:rFonts w:ascii="Calibri" w:eastAsia="Times New Roman" w:hAnsi="Calibri"/>
        </w:rPr>
        <w:t xml:space="preserve">importante les pertes de recettes en </w:t>
      </w:r>
      <w:r w:rsidR="00111BA1">
        <w:rPr>
          <w:rFonts w:ascii="Calibri" w:eastAsia="Times New Roman" w:hAnsi="Calibri"/>
        </w:rPr>
        <w:t>i</w:t>
      </w:r>
      <w:r>
        <w:rPr>
          <w:rFonts w:ascii="Calibri" w:eastAsia="Times New Roman" w:hAnsi="Calibri"/>
        </w:rPr>
        <w:t>nde</w:t>
      </w:r>
      <w:r w:rsidR="00285A6E">
        <w:rPr>
          <w:rFonts w:ascii="Calibri" w:eastAsia="Times New Roman" w:hAnsi="Calibri"/>
        </w:rPr>
        <w:t>xant</w:t>
      </w:r>
      <w:r>
        <w:rPr>
          <w:rFonts w:ascii="Calibri" w:eastAsia="Times New Roman" w:hAnsi="Calibri"/>
        </w:rPr>
        <w:t xml:space="preserve"> la DGF à l’inflation</w:t>
      </w:r>
      <w:r w:rsidR="00111BA1">
        <w:rPr>
          <w:rFonts w:ascii="Calibri" w:eastAsia="Times New Roman" w:hAnsi="Calibri"/>
        </w:rPr>
        <w:t>,</w:t>
      </w:r>
    </w:p>
    <w:p w14:paraId="5C4C54ED" w14:textId="05AD43AF" w:rsidR="008D1A56" w:rsidRPr="006F2787" w:rsidRDefault="003D65C5" w:rsidP="006F2787">
      <w:pPr>
        <w:pStyle w:val="Paragraphedeliste"/>
        <w:numPr>
          <w:ilvl w:val="0"/>
          <w:numId w:val="26"/>
        </w:numPr>
        <w:spacing w:before="120" w:after="120" w:line="259" w:lineRule="auto"/>
        <w:jc w:val="both"/>
        <w:rPr>
          <w:rFonts w:eastAsia="Times New Roman" w:cs="Arial"/>
          <w:lang w:eastAsia="fr-FR"/>
        </w:rPr>
      </w:pPr>
      <w:r>
        <w:t>R</w:t>
      </w:r>
      <w:r w:rsidR="00BF26A1">
        <w:t>evenir en profondeur sur la</w:t>
      </w:r>
      <w:r w:rsidR="00BF26A1" w:rsidRPr="000709D5">
        <w:t xml:space="preserve"> mise en œuvre de l’objectif Zéro Artificialisation Nette (ZAN)</w:t>
      </w:r>
    </w:p>
    <w:p w14:paraId="2A0C28A2" w14:textId="109402F9" w:rsidR="00C62683" w:rsidRPr="00775647" w:rsidRDefault="00B16958" w:rsidP="00C62683">
      <w:pPr>
        <w:pStyle w:val="Default"/>
        <w:spacing w:before="120"/>
        <w:rPr>
          <w:rFonts w:ascii="Calibri" w:eastAsia="Times New Roman" w:hAnsi="Calibri"/>
          <w:b/>
          <w:color w:val="0070C0"/>
          <w:sz w:val="22"/>
          <w:szCs w:val="22"/>
        </w:rPr>
      </w:pPr>
      <w:r>
        <w:rPr>
          <w:rFonts w:ascii="Calibri" w:eastAsia="Times New Roman" w:hAnsi="Calibri"/>
          <w:b/>
          <w:color w:val="0070C0"/>
          <w:sz w:val="22"/>
          <w:szCs w:val="22"/>
        </w:rPr>
        <w:t>En</w:t>
      </w:r>
      <w:r w:rsidR="00775647">
        <w:rPr>
          <w:rFonts w:ascii="Calibri" w:eastAsia="Times New Roman" w:hAnsi="Calibri"/>
          <w:b/>
          <w:color w:val="0070C0"/>
          <w:sz w:val="22"/>
          <w:szCs w:val="22"/>
        </w:rPr>
        <w:t xml:space="preserve"> outre l</w:t>
      </w:r>
      <w:r w:rsidR="00C62683" w:rsidRPr="00C62683">
        <w:rPr>
          <w:rFonts w:ascii="Calibri" w:eastAsia="Times New Roman" w:hAnsi="Calibri"/>
          <w:b/>
          <w:color w:val="0070C0"/>
          <w:sz w:val="22"/>
          <w:szCs w:val="22"/>
        </w:rPr>
        <w:t>’AD</w:t>
      </w:r>
      <w:r w:rsidR="008F4922">
        <w:rPr>
          <w:rFonts w:ascii="Calibri" w:eastAsia="Times New Roman" w:hAnsi="Calibri"/>
          <w:b/>
          <w:color w:val="0070C0"/>
          <w:sz w:val="22"/>
          <w:szCs w:val="22"/>
        </w:rPr>
        <w:t>M6</w:t>
      </w:r>
      <w:r w:rsidR="00C62683" w:rsidRPr="00C62683">
        <w:rPr>
          <w:rFonts w:ascii="Calibri" w:eastAsia="Times New Roman" w:hAnsi="Calibri"/>
          <w:b/>
          <w:color w:val="0070C0"/>
          <w:sz w:val="22"/>
          <w:szCs w:val="22"/>
        </w:rPr>
        <w:t>4</w:t>
      </w:r>
      <w:r w:rsidR="00B323A0">
        <w:rPr>
          <w:rFonts w:ascii="Calibri" w:eastAsia="Times New Roman" w:hAnsi="Calibri"/>
          <w:b/>
          <w:color w:val="0070C0"/>
          <w:sz w:val="22"/>
          <w:szCs w:val="22"/>
        </w:rPr>
        <w:t xml:space="preserve"> DEMANDE la mise en œuvre</w:t>
      </w:r>
      <w:r w:rsidR="006F2787">
        <w:rPr>
          <w:rFonts w:ascii="Calibri" w:eastAsia="Times New Roman" w:hAnsi="Calibri"/>
          <w:b/>
          <w:color w:val="0070C0"/>
          <w:sz w:val="22"/>
          <w:szCs w:val="22"/>
        </w:rPr>
        <w:t xml:space="preserve"> de</w:t>
      </w:r>
      <w:r w:rsidR="00285A6E">
        <w:rPr>
          <w:rFonts w:ascii="Calibri" w:eastAsia="Times New Roman" w:hAnsi="Calibri"/>
          <w:b/>
          <w:color w:val="0070C0"/>
          <w:sz w:val="22"/>
          <w:szCs w:val="22"/>
        </w:rPr>
        <w:t xml:space="preserve"> plusieurs</w:t>
      </w:r>
      <w:r w:rsidR="006F2787">
        <w:rPr>
          <w:rFonts w:ascii="Calibri" w:eastAsia="Times New Roman" w:hAnsi="Calibri"/>
          <w:b/>
          <w:color w:val="0070C0"/>
          <w:sz w:val="22"/>
          <w:szCs w:val="22"/>
        </w:rPr>
        <w:t xml:space="preserve"> </w:t>
      </w:r>
      <w:r w:rsidR="00285A6E">
        <w:rPr>
          <w:rFonts w:ascii="Calibri" w:eastAsia="Times New Roman" w:hAnsi="Calibri"/>
          <w:b/>
          <w:color w:val="0070C0"/>
          <w:sz w:val="22"/>
          <w:szCs w:val="22"/>
        </w:rPr>
        <w:t>mesures visant à restaurer la capacité financière des collectivité</w:t>
      </w:r>
      <w:r w:rsidR="00B0482E">
        <w:rPr>
          <w:rFonts w:ascii="Calibri" w:eastAsia="Times New Roman" w:hAnsi="Calibri"/>
          <w:b/>
          <w:color w:val="0070C0"/>
          <w:sz w:val="22"/>
          <w:szCs w:val="22"/>
        </w:rPr>
        <w:t>s et plus particulièrement</w:t>
      </w:r>
      <w:r w:rsidR="00D841DA">
        <w:rPr>
          <w:rFonts w:ascii="Calibri" w:eastAsia="Times New Roman" w:hAnsi="Calibri"/>
          <w:b/>
          <w:color w:val="0070C0"/>
          <w:sz w:val="22"/>
          <w:szCs w:val="22"/>
        </w:rPr>
        <w:t xml:space="preserve"> de</w:t>
      </w:r>
      <w:r w:rsidR="00B0482E">
        <w:rPr>
          <w:rFonts w:ascii="Calibri" w:eastAsia="Times New Roman" w:hAnsi="Calibri"/>
          <w:b/>
          <w:color w:val="0070C0"/>
          <w:sz w:val="22"/>
          <w:szCs w:val="22"/>
        </w:rPr>
        <w:t> :</w:t>
      </w:r>
      <w:r w:rsidR="00C62683" w:rsidRPr="00C62683">
        <w:rPr>
          <w:rFonts w:ascii="Calibri" w:eastAsia="Times New Roman" w:hAnsi="Calibri"/>
          <w:color w:val="0070C0"/>
          <w:sz w:val="22"/>
          <w:szCs w:val="22"/>
        </w:rPr>
        <w:t xml:space="preserve"> </w:t>
      </w:r>
    </w:p>
    <w:p w14:paraId="2F7F9D9A" w14:textId="59D20D0C" w:rsidR="006F2787" w:rsidRDefault="00285A6E" w:rsidP="00F05079">
      <w:pPr>
        <w:pStyle w:val="Default"/>
        <w:numPr>
          <w:ilvl w:val="0"/>
          <w:numId w:val="26"/>
        </w:numPr>
        <w:spacing w:before="120"/>
        <w:jc w:val="both"/>
        <w:rPr>
          <w:rFonts w:ascii="Calibri" w:eastAsia="Times New Roman" w:hAnsi="Calibri"/>
          <w:sz w:val="22"/>
          <w:szCs w:val="22"/>
        </w:rPr>
      </w:pPr>
      <w:r>
        <w:rPr>
          <w:rFonts w:ascii="Calibri" w:eastAsia="Times New Roman" w:hAnsi="Calibri"/>
          <w:sz w:val="22"/>
          <w:szCs w:val="22"/>
        </w:rPr>
        <w:t>Re</w:t>
      </w:r>
      <w:r w:rsidR="00B16958">
        <w:rPr>
          <w:rFonts w:ascii="Calibri" w:eastAsia="Times New Roman" w:hAnsi="Calibri"/>
          <w:sz w:val="22"/>
          <w:szCs w:val="22"/>
        </w:rPr>
        <w:t>définir complètement la dotation forfaitaire sans figer durablement le passé</w:t>
      </w:r>
      <w:r w:rsidR="00517789">
        <w:rPr>
          <w:rFonts w:ascii="Calibri" w:eastAsia="Times New Roman" w:hAnsi="Calibri"/>
          <w:sz w:val="22"/>
          <w:szCs w:val="22"/>
        </w:rPr>
        <w:t xml:space="preserve">, </w:t>
      </w:r>
      <w:r w:rsidR="00B16958">
        <w:rPr>
          <w:rFonts w:ascii="Calibri" w:eastAsia="Times New Roman" w:hAnsi="Calibri"/>
          <w:sz w:val="22"/>
          <w:szCs w:val="22"/>
        </w:rPr>
        <w:t>introduire un second critère à l’écrêtement : le revenu par habitant</w:t>
      </w:r>
      <w:r w:rsidR="007D35C5">
        <w:rPr>
          <w:rFonts w:ascii="Calibri" w:eastAsia="Times New Roman" w:hAnsi="Calibri"/>
          <w:sz w:val="22"/>
          <w:szCs w:val="22"/>
        </w:rPr>
        <w:t xml:space="preserve"> et g</w:t>
      </w:r>
      <w:r w:rsidR="007D35C5" w:rsidRPr="007D35C5">
        <w:rPr>
          <w:rFonts w:ascii="Calibri" w:eastAsia="Times New Roman" w:hAnsi="Calibri"/>
          <w:sz w:val="22"/>
          <w:szCs w:val="22"/>
        </w:rPr>
        <w:t>arder le périmètre communal comme référence</w:t>
      </w:r>
      <w:r w:rsidR="007D35C5">
        <w:rPr>
          <w:rFonts w:ascii="Calibri" w:eastAsia="Times New Roman" w:hAnsi="Calibri"/>
          <w:sz w:val="22"/>
          <w:szCs w:val="22"/>
        </w:rPr>
        <w:t>,</w:t>
      </w:r>
    </w:p>
    <w:p w14:paraId="31661326" w14:textId="2788C9D9" w:rsidR="00A86028" w:rsidRDefault="00A86028" w:rsidP="00A86028">
      <w:pPr>
        <w:pStyle w:val="Default"/>
        <w:numPr>
          <w:ilvl w:val="0"/>
          <w:numId w:val="26"/>
        </w:numPr>
        <w:spacing w:before="120"/>
        <w:jc w:val="both"/>
        <w:rPr>
          <w:rFonts w:ascii="Calibri" w:eastAsia="Times New Roman" w:hAnsi="Calibri"/>
          <w:sz w:val="22"/>
          <w:szCs w:val="22"/>
        </w:rPr>
      </w:pPr>
      <w:r>
        <w:rPr>
          <w:rFonts w:ascii="Calibri" w:eastAsia="Times New Roman" w:hAnsi="Calibri"/>
          <w:sz w:val="22"/>
          <w:szCs w:val="22"/>
        </w:rPr>
        <w:t>Suspendre la mise à jour des valeurs locatives des locaux professionnels</w:t>
      </w:r>
      <w:r w:rsidR="00E13CD8" w:rsidRPr="00E13CD8">
        <w:t xml:space="preserve"> </w:t>
      </w:r>
      <w:r w:rsidR="00E13CD8" w:rsidRPr="00E13CD8">
        <w:rPr>
          <w:rFonts w:ascii="Calibri" w:eastAsia="Times New Roman" w:hAnsi="Calibri"/>
          <w:sz w:val="22"/>
          <w:szCs w:val="22"/>
        </w:rPr>
        <w:t xml:space="preserve">qui doit intervenir au 1er janvier 2023. Alors que la crise économique s’installe dans la durée, les premiers résultats de la mise à jour pénalisent les petits commerces de centre-ville et du milieu rural, en totale </w:t>
      </w:r>
      <w:r w:rsidR="00E13CD8" w:rsidRPr="00E13CD8">
        <w:rPr>
          <w:rFonts w:ascii="Calibri" w:eastAsia="Times New Roman" w:hAnsi="Calibri"/>
          <w:sz w:val="22"/>
          <w:szCs w:val="22"/>
        </w:rPr>
        <w:lastRenderedPageBreak/>
        <w:t>contradiction avec toutes les politiques publiques mises en œuvre pour redynamiser les bourgs-centres et lutter contre l’étalement urbain.</w:t>
      </w:r>
    </w:p>
    <w:p w14:paraId="7149ADA0" w14:textId="11426C66" w:rsidR="007278E7" w:rsidRDefault="00A86028" w:rsidP="007278E7">
      <w:pPr>
        <w:pStyle w:val="Default"/>
        <w:numPr>
          <w:ilvl w:val="0"/>
          <w:numId w:val="26"/>
        </w:numPr>
        <w:spacing w:before="120"/>
        <w:jc w:val="both"/>
        <w:rPr>
          <w:rFonts w:ascii="Calibri" w:eastAsia="Times New Roman" w:hAnsi="Calibri"/>
          <w:sz w:val="22"/>
          <w:szCs w:val="22"/>
        </w:rPr>
      </w:pPr>
      <w:r w:rsidRPr="007278E7">
        <w:rPr>
          <w:rFonts w:ascii="Calibri" w:eastAsia="Times New Roman" w:hAnsi="Calibri"/>
          <w:sz w:val="22"/>
          <w:szCs w:val="22"/>
        </w:rPr>
        <w:t xml:space="preserve">Maintenir les financements </w:t>
      </w:r>
      <w:r w:rsidR="007278E7" w:rsidRPr="007278E7">
        <w:rPr>
          <w:rFonts w:ascii="Calibri" w:eastAsia="Times New Roman" w:hAnsi="Calibri"/>
          <w:sz w:val="22"/>
          <w:szCs w:val="22"/>
        </w:rPr>
        <w:t xml:space="preserve">du Plan de Relance et en particulier ceux </w:t>
      </w:r>
      <w:r w:rsidR="007278E7">
        <w:rPr>
          <w:rFonts w:ascii="Calibri" w:eastAsia="Times New Roman" w:hAnsi="Calibri"/>
          <w:sz w:val="22"/>
          <w:szCs w:val="22"/>
        </w:rPr>
        <w:t>favorisa</w:t>
      </w:r>
      <w:r w:rsidR="007278E7" w:rsidRPr="007278E7">
        <w:rPr>
          <w:rFonts w:ascii="Calibri" w:eastAsia="Times New Roman" w:hAnsi="Calibri"/>
          <w:sz w:val="22"/>
          <w:szCs w:val="22"/>
        </w:rPr>
        <w:t xml:space="preserve">nt la rénovation </w:t>
      </w:r>
      <w:r w:rsidR="007278E7">
        <w:rPr>
          <w:rFonts w:ascii="Calibri" w:eastAsia="Times New Roman" w:hAnsi="Calibri"/>
          <w:sz w:val="22"/>
          <w:szCs w:val="22"/>
        </w:rPr>
        <w:t>et la transition énergétique,</w:t>
      </w:r>
    </w:p>
    <w:p w14:paraId="22CBB6C2" w14:textId="73D29922" w:rsidR="008979EE" w:rsidRPr="007278E7" w:rsidRDefault="00BB214A" w:rsidP="007278E7">
      <w:pPr>
        <w:pStyle w:val="Default"/>
        <w:numPr>
          <w:ilvl w:val="0"/>
          <w:numId w:val="26"/>
        </w:numPr>
        <w:spacing w:before="120"/>
        <w:jc w:val="both"/>
        <w:rPr>
          <w:rFonts w:ascii="Calibri" w:eastAsia="Times New Roman" w:hAnsi="Calibri"/>
          <w:sz w:val="22"/>
          <w:szCs w:val="22"/>
        </w:rPr>
      </w:pPr>
      <w:r w:rsidRPr="007278E7">
        <w:rPr>
          <w:rFonts w:ascii="Calibri" w:eastAsia="Times New Roman" w:hAnsi="Calibri"/>
          <w:sz w:val="22"/>
          <w:szCs w:val="22"/>
        </w:rPr>
        <w:t xml:space="preserve">Retrouver des marges d’actions en matière de fiscalité directe locale : </w:t>
      </w:r>
    </w:p>
    <w:p w14:paraId="69CA5B5A" w14:textId="3579DC63" w:rsidR="008979EE" w:rsidRDefault="004A7E3D" w:rsidP="004A7E3D">
      <w:pPr>
        <w:pStyle w:val="Default"/>
        <w:numPr>
          <w:ilvl w:val="1"/>
          <w:numId w:val="26"/>
        </w:numPr>
        <w:spacing w:before="120"/>
        <w:jc w:val="both"/>
        <w:rPr>
          <w:rFonts w:ascii="Calibri" w:eastAsia="Times New Roman" w:hAnsi="Calibri"/>
          <w:sz w:val="22"/>
          <w:szCs w:val="22"/>
        </w:rPr>
      </w:pPr>
      <w:r>
        <w:rPr>
          <w:rFonts w:ascii="Calibri" w:eastAsia="Times New Roman" w:hAnsi="Calibri"/>
          <w:sz w:val="22"/>
          <w:szCs w:val="22"/>
        </w:rPr>
        <w:t>Assouplir</w:t>
      </w:r>
      <w:r w:rsidR="00BB214A">
        <w:rPr>
          <w:rFonts w:ascii="Calibri" w:eastAsia="Times New Roman" w:hAnsi="Calibri"/>
          <w:sz w:val="22"/>
          <w:szCs w:val="22"/>
        </w:rPr>
        <w:t xml:space="preserve"> </w:t>
      </w:r>
      <w:r>
        <w:rPr>
          <w:rFonts w:ascii="Calibri" w:eastAsia="Times New Roman" w:hAnsi="Calibri"/>
          <w:sz w:val="22"/>
          <w:szCs w:val="22"/>
        </w:rPr>
        <w:t>le</w:t>
      </w:r>
      <w:r w:rsidR="00BB214A">
        <w:rPr>
          <w:rFonts w:ascii="Calibri" w:eastAsia="Times New Roman" w:hAnsi="Calibri"/>
          <w:sz w:val="22"/>
          <w:szCs w:val="22"/>
        </w:rPr>
        <w:t xml:space="preserve"> mécanisme de lien entre les taux qui repose sur la taxe foncière</w:t>
      </w:r>
      <w:r w:rsidR="008979EE">
        <w:rPr>
          <w:rFonts w:ascii="Calibri" w:eastAsia="Times New Roman" w:hAnsi="Calibri"/>
          <w:sz w:val="22"/>
          <w:szCs w:val="22"/>
        </w:rPr>
        <w:t xml:space="preserve"> des propriétés bâties </w:t>
      </w:r>
      <w:r w:rsidR="00A86028">
        <w:rPr>
          <w:rFonts w:ascii="Calibri" w:eastAsia="Times New Roman" w:hAnsi="Calibri"/>
          <w:sz w:val="22"/>
          <w:szCs w:val="22"/>
        </w:rPr>
        <w:t xml:space="preserve">en </w:t>
      </w:r>
      <w:r w:rsidR="002D2307" w:rsidRPr="002D2307">
        <w:rPr>
          <w:rFonts w:ascii="Calibri" w:eastAsia="Times New Roman" w:hAnsi="Calibri"/>
          <w:sz w:val="22"/>
          <w:szCs w:val="22"/>
        </w:rPr>
        <w:t>permettant la hausse du taux de taxe d’habitation sur les résidences secondaires dans la limite de 1,5 fois celle du foncier bâti.</w:t>
      </w:r>
      <w:r w:rsidR="002D2307">
        <w:rPr>
          <w:rFonts w:ascii="Calibri" w:eastAsia="Times New Roman" w:hAnsi="Calibri"/>
          <w:sz w:val="22"/>
          <w:szCs w:val="22"/>
        </w:rPr>
        <w:t xml:space="preserve"> </w:t>
      </w:r>
    </w:p>
    <w:p w14:paraId="41397754" w14:textId="659A7E1D" w:rsidR="00BB214A" w:rsidRDefault="00A86028" w:rsidP="004A7E3D">
      <w:pPr>
        <w:pStyle w:val="Default"/>
        <w:numPr>
          <w:ilvl w:val="1"/>
          <w:numId w:val="26"/>
        </w:numPr>
        <w:spacing w:before="120"/>
        <w:jc w:val="both"/>
        <w:rPr>
          <w:rFonts w:ascii="Calibri" w:eastAsia="Times New Roman" w:hAnsi="Calibri"/>
          <w:sz w:val="22"/>
          <w:szCs w:val="22"/>
        </w:rPr>
      </w:pPr>
      <w:r>
        <w:rPr>
          <w:rFonts w:ascii="Calibri" w:eastAsia="Times New Roman" w:hAnsi="Calibri"/>
          <w:sz w:val="22"/>
          <w:szCs w:val="22"/>
        </w:rPr>
        <w:t>R</w:t>
      </w:r>
      <w:r w:rsidR="00BD5C87">
        <w:rPr>
          <w:rFonts w:ascii="Calibri" w:eastAsia="Times New Roman" w:hAnsi="Calibri"/>
          <w:sz w:val="22"/>
          <w:szCs w:val="22"/>
        </w:rPr>
        <w:t>empla</w:t>
      </w:r>
      <w:r w:rsidR="004A7E3D">
        <w:rPr>
          <w:rFonts w:ascii="Calibri" w:eastAsia="Times New Roman" w:hAnsi="Calibri"/>
          <w:sz w:val="22"/>
          <w:szCs w:val="22"/>
        </w:rPr>
        <w:t>cer</w:t>
      </w:r>
      <w:r w:rsidR="00BD5C87">
        <w:rPr>
          <w:rFonts w:ascii="Calibri" w:eastAsia="Times New Roman" w:hAnsi="Calibri"/>
          <w:sz w:val="22"/>
          <w:szCs w:val="22"/>
        </w:rPr>
        <w:t xml:space="preserve"> la CVAE par une contribution locale sur laquelle les collectivités garderaient le pouvoir de taux</w:t>
      </w:r>
      <w:r w:rsidR="00A87B77">
        <w:rPr>
          <w:rFonts w:ascii="Calibri" w:eastAsia="Times New Roman" w:hAnsi="Calibri"/>
          <w:sz w:val="22"/>
          <w:szCs w:val="22"/>
        </w:rPr>
        <w:t xml:space="preserve"> et/ou d’assiette</w:t>
      </w:r>
      <w:r w:rsidR="00CD7618">
        <w:rPr>
          <w:rFonts w:ascii="Calibri" w:eastAsia="Times New Roman" w:hAnsi="Calibri"/>
          <w:sz w:val="22"/>
          <w:szCs w:val="22"/>
        </w:rPr>
        <w:t xml:space="preserve"> et dont le</w:t>
      </w:r>
      <w:r w:rsidR="00A87B77">
        <w:rPr>
          <w:rFonts w:ascii="Calibri" w:eastAsia="Times New Roman" w:hAnsi="Calibri"/>
          <w:sz w:val="22"/>
          <w:szCs w:val="22"/>
        </w:rPr>
        <w:t xml:space="preserve"> dispositif</w:t>
      </w:r>
      <w:r w:rsidR="00CD7618">
        <w:rPr>
          <w:rFonts w:ascii="Calibri" w:eastAsia="Times New Roman" w:hAnsi="Calibri"/>
          <w:sz w:val="22"/>
          <w:szCs w:val="22"/>
        </w:rPr>
        <w:t xml:space="preserve"> d</w:t>
      </w:r>
      <w:r w:rsidR="00837F5A">
        <w:rPr>
          <w:rFonts w:ascii="Calibri" w:eastAsia="Times New Roman" w:hAnsi="Calibri"/>
          <w:sz w:val="22"/>
          <w:szCs w:val="22"/>
        </w:rPr>
        <w:t>o</w:t>
      </w:r>
      <w:r w:rsidR="00CD7618">
        <w:rPr>
          <w:rFonts w:ascii="Calibri" w:eastAsia="Times New Roman" w:hAnsi="Calibri"/>
          <w:sz w:val="22"/>
          <w:szCs w:val="22"/>
        </w:rPr>
        <w:t>it être</w:t>
      </w:r>
      <w:r w:rsidR="00A87B77">
        <w:rPr>
          <w:rFonts w:ascii="Calibri" w:eastAsia="Times New Roman" w:hAnsi="Calibri"/>
          <w:sz w:val="22"/>
          <w:szCs w:val="22"/>
        </w:rPr>
        <w:t xml:space="preserve"> élaboré avec les associations d’élus.</w:t>
      </w:r>
    </w:p>
    <w:p w14:paraId="7EA50485" w14:textId="5DB4D332" w:rsidR="007278E7" w:rsidRPr="007278E7" w:rsidRDefault="007278E7" w:rsidP="007278E7">
      <w:pPr>
        <w:pStyle w:val="Default"/>
        <w:numPr>
          <w:ilvl w:val="0"/>
          <w:numId w:val="26"/>
        </w:numPr>
        <w:spacing w:before="120"/>
        <w:rPr>
          <w:rFonts w:ascii="Calibri" w:eastAsia="Times New Roman" w:hAnsi="Calibri"/>
          <w:sz w:val="22"/>
          <w:szCs w:val="22"/>
        </w:rPr>
      </w:pPr>
      <w:r>
        <w:rPr>
          <w:rFonts w:ascii="Calibri" w:eastAsia="Times New Roman" w:hAnsi="Calibri"/>
          <w:sz w:val="22"/>
          <w:szCs w:val="22"/>
        </w:rPr>
        <w:t xml:space="preserve">Revenir aux précédentes </w:t>
      </w:r>
      <w:r w:rsidRPr="007278E7">
        <w:rPr>
          <w:rFonts w:ascii="Calibri" w:eastAsia="Times New Roman" w:hAnsi="Calibri"/>
          <w:sz w:val="22"/>
          <w:szCs w:val="22"/>
        </w:rPr>
        <w:t>règles d’exigibilité</w:t>
      </w:r>
      <w:r>
        <w:rPr>
          <w:rFonts w:ascii="Calibri" w:eastAsia="Times New Roman" w:hAnsi="Calibri"/>
          <w:sz w:val="22"/>
          <w:szCs w:val="22"/>
        </w:rPr>
        <w:t xml:space="preserve"> de la Taxe d’Aménagement. En effet la date d</w:t>
      </w:r>
      <w:r w:rsidRPr="007278E7">
        <w:rPr>
          <w:rFonts w:ascii="Calibri" w:eastAsia="Times New Roman" w:hAnsi="Calibri"/>
          <w:sz w:val="22"/>
          <w:szCs w:val="22"/>
        </w:rPr>
        <w:t>’achèvement fiscal des travaux</w:t>
      </w:r>
      <w:r>
        <w:rPr>
          <w:rFonts w:ascii="Calibri" w:eastAsia="Times New Roman" w:hAnsi="Calibri"/>
          <w:sz w:val="22"/>
          <w:szCs w:val="22"/>
        </w:rPr>
        <w:t xml:space="preserve"> ne permet </w:t>
      </w:r>
      <w:r w:rsidR="00E13CD8">
        <w:rPr>
          <w:rFonts w:ascii="Calibri" w:eastAsia="Times New Roman" w:hAnsi="Calibri"/>
          <w:sz w:val="22"/>
          <w:szCs w:val="22"/>
        </w:rPr>
        <w:t xml:space="preserve">pas </w:t>
      </w:r>
      <w:r>
        <w:rPr>
          <w:rFonts w:ascii="Calibri" w:eastAsia="Times New Roman" w:hAnsi="Calibri"/>
          <w:sz w:val="22"/>
          <w:szCs w:val="22"/>
        </w:rPr>
        <w:t>aux collectivités de disposer de cette recette de manière efficace et rapide,</w:t>
      </w:r>
    </w:p>
    <w:p w14:paraId="31272FD2" w14:textId="62C6C626" w:rsidR="00655E4B" w:rsidRDefault="00CD7618" w:rsidP="006F2787">
      <w:pPr>
        <w:pStyle w:val="Default"/>
        <w:numPr>
          <w:ilvl w:val="0"/>
          <w:numId w:val="26"/>
        </w:numPr>
        <w:spacing w:before="120"/>
        <w:rPr>
          <w:rFonts w:ascii="Calibri" w:eastAsia="Times New Roman" w:hAnsi="Calibri"/>
          <w:sz w:val="22"/>
          <w:szCs w:val="22"/>
        </w:rPr>
      </w:pPr>
      <w:r>
        <w:rPr>
          <w:rFonts w:ascii="Calibri" w:eastAsia="Times New Roman" w:hAnsi="Calibri"/>
          <w:sz w:val="22"/>
          <w:szCs w:val="22"/>
        </w:rPr>
        <w:t>Rétablir</w:t>
      </w:r>
      <w:r w:rsidR="00AC1CB7">
        <w:rPr>
          <w:rFonts w:ascii="Calibri" w:eastAsia="Times New Roman" w:hAnsi="Calibri"/>
          <w:sz w:val="22"/>
          <w:szCs w:val="22"/>
        </w:rPr>
        <w:t xml:space="preserve"> l’éligibilité des travaux en régie</w:t>
      </w:r>
      <w:r>
        <w:rPr>
          <w:rFonts w:ascii="Calibri" w:eastAsia="Times New Roman" w:hAnsi="Calibri"/>
          <w:sz w:val="22"/>
          <w:szCs w:val="22"/>
        </w:rPr>
        <w:t xml:space="preserve"> dans </w:t>
      </w:r>
      <w:r w:rsidR="00837F5A">
        <w:rPr>
          <w:rFonts w:ascii="Calibri" w:eastAsia="Times New Roman" w:hAnsi="Calibri"/>
          <w:sz w:val="22"/>
          <w:szCs w:val="22"/>
        </w:rPr>
        <w:t xml:space="preserve">le cadre </w:t>
      </w:r>
      <w:r>
        <w:rPr>
          <w:rFonts w:ascii="Calibri" w:eastAsia="Times New Roman" w:hAnsi="Calibri"/>
          <w:sz w:val="22"/>
          <w:szCs w:val="22"/>
        </w:rPr>
        <w:t>du FCTVA,</w:t>
      </w:r>
    </w:p>
    <w:p w14:paraId="526B5025" w14:textId="0A98D3F7" w:rsidR="006F2787" w:rsidRDefault="00AC1CB7" w:rsidP="006F2787">
      <w:pPr>
        <w:pStyle w:val="Default"/>
        <w:numPr>
          <w:ilvl w:val="0"/>
          <w:numId w:val="26"/>
        </w:numPr>
        <w:spacing w:before="120"/>
        <w:rPr>
          <w:rFonts w:ascii="Calibri" w:eastAsia="Times New Roman" w:hAnsi="Calibri"/>
          <w:sz w:val="22"/>
          <w:szCs w:val="22"/>
        </w:rPr>
      </w:pPr>
      <w:r>
        <w:rPr>
          <w:rFonts w:ascii="Calibri" w:eastAsia="Times New Roman" w:hAnsi="Calibri"/>
          <w:sz w:val="22"/>
          <w:szCs w:val="22"/>
        </w:rPr>
        <w:t>Créer une véritable procédure simplifiée de D</w:t>
      </w:r>
      <w:r w:rsidR="007D35C5">
        <w:rPr>
          <w:rFonts w:ascii="Calibri" w:eastAsia="Times New Roman" w:hAnsi="Calibri"/>
          <w:sz w:val="22"/>
          <w:szCs w:val="22"/>
        </w:rPr>
        <w:t xml:space="preserve">élégation de </w:t>
      </w:r>
      <w:r>
        <w:rPr>
          <w:rFonts w:ascii="Calibri" w:eastAsia="Times New Roman" w:hAnsi="Calibri"/>
          <w:sz w:val="22"/>
          <w:szCs w:val="22"/>
        </w:rPr>
        <w:t>S</w:t>
      </w:r>
      <w:r w:rsidR="007D35C5">
        <w:rPr>
          <w:rFonts w:ascii="Calibri" w:eastAsia="Times New Roman" w:hAnsi="Calibri"/>
          <w:sz w:val="22"/>
          <w:szCs w:val="22"/>
        </w:rPr>
        <w:t xml:space="preserve">ervice </w:t>
      </w:r>
      <w:r>
        <w:rPr>
          <w:rFonts w:ascii="Calibri" w:eastAsia="Times New Roman" w:hAnsi="Calibri"/>
          <w:sz w:val="22"/>
          <w:szCs w:val="22"/>
        </w:rPr>
        <w:t>P</w:t>
      </w:r>
      <w:r w:rsidR="007D35C5">
        <w:rPr>
          <w:rFonts w:ascii="Calibri" w:eastAsia="Times New Roman" w:hAnsi="Calibri"/>
          <w:sz w:val="22"/>
          <w:szCs w:val="22"/>
        </w:rPr>
        <w:t>ublique</w:t>
      </w:r>
      <w:r>
        <w:rPr>
          <w:rFonts w:ascii="Calibri" w:eastAsia="Times New Roman" w:hAnsi="Calibri"/>
          <w:sz w:val="22"/>
          <w:szCs w:val="22"/>
        </w:rPr>
        <w:t xml:space="preserve"> à l’image de la procédure sans mise en concurrence pour les marchés de moins de 40</w:t>
      </w:r>
      <w:r w:rsidR="004A7E3D">
        <w:rPr>
          <w:rFonts w:ascii="Calibri" w:eastAsia="Times New Roman" w:hAnsi="Calibri"/>
          <w:sz w:val="22"/>
          <w:szCs w:val="22"/>
        </w:rPr>
        <w:t> </w:t>
      </w:r>
      <w:r>
        <w:rPr>
          <w:rFonts w:ascii="Calibri" w:eastAsia="Times New Roman" w:hAnsi="Calibri"/>
          <w:sz w:val="22"/>
          <w:szCs w:val="22"/>
        </w:rPr>
        <w:t>000</w:t>
      </w:r>
      <w:r w:rsidR="004A7E3D">
        <w:rPr>
          <w:rFonts w:ascii="Calibri" w:eastAsia="Times New Roman" w:hAnsi="Calibri"/>
          <w:sz w:val="22"/>
          <w:szCs w:val="22"/>
        </w:rPr>
        <w:t>€ HT</w:t>
      </w:r>
      <w:r w:rsidR="007D35C5">
        <w:rPr>
          <w:rFonts w:ascii="Calibri" w:eastAsia="Times New Roman" w:hAnsi="Calibri"/>
          <w:sz w:val="22"/>
          <w:szCs w:val="22"/>
        </w:rPr>
        <w:t xml:space="preserve">, </w:t>
      </w:r>
    </w:p>
    <w:p w14:paraId="77B34ADB" w14:textId="707C1D48" w:rsidR="00D266CC" w:rsidRDefault="00AC1CB7" w:rsidP="00D266CC">
      <w:pPr>
        <w:pStyle w:val="Default"/>
        <w:numPr>
          <w:ilvl w:val="0"/>
          <w:numId w:val="26"/>
        </w:numPr>
        <w:spacing w:before="120"/>
        <w:rPr>
          <w:rFonts w:ascii="Calibri" w:eastAsia="Times New Roman" w:hAnsi="Calibri"/>
          <w:sz w:val="22"/>
          <w:szCs w:val="22"/>
        </w:rPr>
      </w:pPr>
      <w:r>
        <w:rPr>
          <w:rFonts w:ascii="Calibri" w:eastAsia="Times New Roman" w:hAnsi="Calibri"/>
          <w:sz w:val="22"/>
          <w:szCs w:val="22"/>
        </w:rPr>
        <w:t>Prendre en compte le périmètre communal et non intercommunal comme base d’analyse dans le cadre de la réforme du zonage des ZRR.</w:t>
      </w:r>
    </w:p>
    <w:p w14:paraId="1AD4CAFD" w14:textId="53BB4EC1" w:rsidR="004A7E3D" w:rsidRPr="00837F5A" w:rsidRDefault="00E13CD8" w:rsidP="00E13CD8">
      <w:pPr>
        <w:pStyle w:val="Default"/>
        <w:spacing w:before="120"/>
        <w:rPr>
          <w:rFonts w:ascii="Calibri" w:eastAsia="Times New Roman" w:hAnsi="Calibri"/>
          <w:b/>
          <w:bCs/>
        </w:rPr>
      </w:pPr>
      <w:r w:rsidRPr="00837F5A">
        <w:rPr>
          <w:rFonts w:ascii="Calibri" w:eastAsia="Times New Roman" w:hAnsi="Calibri"/>
          <w:b/>
          <w:bCs/>
          <w:color w:val="0070C0"/>
        </w:rPr>
        <w:t>Toutes ces mesures sont nécessaires pour la survie de nos territoires.</w:t>
      </w:r>
    </w:p>
    <w:p w14:paraId="70F47507" w14:textId="77777777" w:rsidR="00C62683" w:rsidRDefault="00C62683" w:rsidP="00C62683">
      <w:pPr>
        <w:pStyle w:val="Default"/>
        <w:spacing w:before="120"/>
        <w:rPr>
          <w:rFonts w:ascii="Calibri" w:eastAsia="Times New Roman" w:hAnsi="Calibri"/>
          <w:sz w:val="22"/>
          <w:szCs w:val="22"/>
        </w:rPr>
      </w:pPr>
      <w:r>
        <w:rPr>
          <w:rFonts w:ascii="Calibri" w:eastAsia="Times New Roman" w:hAnsi="Calibri"/>
          <w:sz w:val="22"/>
          <w:szCs w:val="22"/>
        </w:rPr>
        <w:t xml:space="preserve">En tant que maire, soutenez ces demandes </w:t>
      </w:r>
      <w:r w:rsidR="005E38E8">
        <w:rPr>
          <w:rFonts w:ascii="Calibri" w:eastAsia="Times New Roman" w:hAnsi="Calibri"/>
          <w:sz w:val="22"/>
          <w:szCs w:val="22"/>
        </w:rPr>
        <w:t xml:space="preserve">sur </w:t>
      </w:r>
      <w:hyperlink r:id="rId9" w:history="1">
        <w:r w:rsidR="005E38E8" w:rsidRPr="006F6839">
          <w:rPr>
            <w:rStyle w:val="Lienhypertexte"/>
            <w:rFonts w:ascii="Calibri" w:eastAsia="Times New Roman" w:hAnsi="Calibri"/>
            <w:sz w:val="22"/>
            <w:szCs w:val="22"/>
          </w:rPr>
          <w:t>www.adm-64.fr</w:t>
        </w:r>
      </w:hyperlink>
    </w:p>
    <w:p w14:paraId="6D3A710C" w14:textId="7F8FF3D7" w:rsidR="00C62683" w:rsidRDefault="00C62683" w:rsidP="00C62683">
      <w:pPr>
        <w:pStyle w:val="Default"/>
        <w:spacing w:before="120"/>
        <w:rPr>
          <w:rFonts w:ascii="Calibri" w:eastAsia="Times New Roman" w:hAnsi="Calibri"/>
          <w:sz w:val="22"/>
          <w:szCs w:val="22"/>
        </w:rPr>
      </w:pPr>
      <w:r>
        <w:rPr>
          <w:rFonts w:ascii="Calibri" w:eastAsia="Times New Roman" w:hAnsi="Calibri"/>
          <w:sz w:val="22"/>
          <w:szCs w:val="22"/>
        </w:rPr>
        <w:t xml:space="preserve">Si vous souhaitez adopter ces demandes en Conseil Municipal, </w:t>
      </w:r>
      <w:r w:rsidR="005E38E8">
        <w:rPr>
          <w:rFonts w:ascii="Calibri" w:eastAsia="Times New Roman" w:hAnsi="Calibri"/>
          <w:sz w:val="22"/>
          <w:szCs w:val="22"/>
        </w:rPr>
        <w:t xml:space="preserve">en téléchargeant le projet de </w:t>
      </w:r>
      <w:r w:rsidR="00896744">
        <w:rPr>
          <w:rFonts w:ascii="Calibri" w:eastAsia="Times New Roman" w:hAnsi="Calibri"/>
          <w:sz w:val="22"/>
          <w:szCs w:val="22"/>
        </w:rPr>
        <w:t>mot</w:t>
      </w:r>
      <w:r w:rsidR="005E38E8">
        <w:rPr>
          <w:rFonts w:ascii="Calibri" w:eastAsia="Times New Roman" w:hAnsi="Calibri"/>
          <w:sz w:val="22"/>
          <w:szCs w:val="22"/>
        </w:rPr>
        <w:t xml:space="preserve">ion sur </w:t>
      </w:r>
      <w:hyperlink r:id="rId10" w:history="1">
        <w:r w:rsidR="005E38E8" w:rsidRPr="006F6839">
          <w:rPr>
            <w:rStyle w:val="Lienhypertexte"/>
            <w:rFonts w:ascii="Calibri" w:eastAsia="Times New Roman" w:hAnsi="Calibri"/>
            <w:sz w:val="22"/>
            <w:szCs w:val="22"/>
          </w:rPr>
          <w:t>www.adm-64.fr</w:t>
        </w:r>
      </w:hyperlink>
      <w:r w:rsidR="005E38E8">
        <w:rPr>
          <w:rFonts w:ascii="Calibri" w:eastAsia="Times New Roman" w:hAnsi="Calibri"/>
          <w:sz w:val="22"/>
          <w:szCs w:val="22"/>
        </w:rPr>
        <w:t xml:space="preserve"> </w:t>
      </w:r>
    </w:p>
    <w:p w14:paraId="760FBB96" w14:textId="77777777" w:rsidR="00C62683" w:rsidRDefault="00C62683" w:rsidP="003C6F51">
      <w:pPr>
        <w:pStyle w:val="Default"/>
      </w:pPr>
    </w:p>
    <w:p w14:paraId="549C6ECA" w14:textId="11912054" w:rsidR="00DC13F8" w:rsidRPr="0082295C" w:rsidRDefault="00DC13F8" w:rsidP="003647FA">
      <w:pPr>
        <w:spacing w:after="0" w:line="240" w:lineRule="atLeast"/>
        <w:jc w:val="center"/>
        <w:rPr>
          <w:rFonts w:ascii="Calibri" w:eastAsia="Times New Roman" w:hAnsi="Calibri" w:cs="Arial"/>
          <w:b/>
          <w:lang w:eastAsia="fr-FR"/>
        </w:rPr>
      </w:pPr>
    </w:p>
    <w:sectPr w:rsidR="00DC13F8" w:rsidRPr="0082295C" w:rsidSect="00EC2E2C">
      <w:headerReference w:type="default" r:id="rId11"/>
      <w:footerReference w:type="default" r:id="rId12"/>
      <w:footerReference w:type="first" r:id="rId13"/>
      <w:pgSz w:w="11906" w:h="16838"/>
      <w:pgMar w:top="426" w:right="1417" w:bottom="56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175EF" w14:textId="77777777" w:rsidR="00D841DA" w:rsidRDefault="00D841DA" w:rsidP="00416BCB">
      <w:pPr>
        <w:spacing w:after="0" w:line="240" w:lineRule="auto"/>
      </w:pPr>
      <w:r>
        <w:separator/>
      </w:r>
    </w:p>
  </w:endnote>
  <w:endnote w:type="continuationSeparator" w:id="0">
    <w:p w14:paraId="6E24D6B7" w14:textId="77777777" w:rsidR="00D841DA" w:rsidRDefault="00D841DA" w:rsidP="0041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390F" w14:textId="77777777" w:rsidR="00D841DA" w:rsidRDefault="00D841DA" w:rsidP="00973ADC">
    <w:pPr>
      <w:pStyle w:val="Pieddepage"/>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BB66" w14:textId="77777777" w:rsidR="00D841DA" w:rsidRDefault="00D841DA" w:rsidP="004E1A2E">
    <w:pPr>
      <w:pStyle w:val="Corpsdetexte"/>
    </w:pPr>
  </w:p>
  <w:p w14:paraId="7D60E95B" w14:textId="77777777" w:rsidR="00D841DA" w:rsidRDefault="00D841DA" w:rsidP="00973ADC">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013C1" w14:textId="77777777" w:rsidR="00D841DA" w:rsidRDefault="00D841DA" w:rsidP="00416BCB">
      <w:pPr>
        <w:spacing w:after="0" w:line="240" w:lineRule="auto"/>
      </w:pPr>
      <w:r>
        <w:separator/>
      </w:r>
    </w:p>
  </w:footnote>
  <w:footnote w:type="continuationSeparator" w:id="0">
    <w:p w14:paraId="5A8F23CD" w14:textId="77777777" w:rsidR="00D841DA" w:rsidRDefault="00D841DA" w:rsidP="00416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22CF" w14:textId="77777777" w:rsidR="00D841DA" w:rsidRDefault="00D841DA" w:rsidP="00416BC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01CB00C8"/>
    <w:multiLevelType w:val="hybridMultilevel"/>
    <w:tmpl w:val="29528FD4"/>
    <w:lvl w:ilvl="0" w:tplc="890049B6">
      <w:numFmt w:val="bullet"/>
      <w:lvlText w:val=""/>
      <w:lvlPicBulletId w:val="0"/>
      <w:lvlJc w:val="left"/>
      <w:pPr>
        <w:ind w:left="720" w:hanging="360"/>
      </w:pPr>
      <w:rPr>
        <w:rFonts w:ascii="Symbol" w:eastAsiaTheme="minorHAnsi" w:hAnsi="Symbo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093EFB"/>
    <w:multiLevelType w:val="hybridMultilevel"/>
    <w:tmpl w:val="A7C0F3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193A52"/>
    <w:multiLevelType w:val="hybridMultilevel"/>
    <w:tmpl w:val="5FB28438"/>
    <w:lvl w:ilvl="0" w:tplc="34B8E08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DD6296"/>
    <w:multiLevelType w:val="hybridMultilevel"/>
    <w:tmpl w:val="BEB6EB0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170E29A4"/>
    <w:multiLevelType w:val="hybridMultilevel"/>
    <w:tmpl w:val="88629E3A"/>
    <w:lvl w:ilvl="0" w:tplc="08504A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467A2E"/>
    <w:multiLevelType w:val="hybridMultilevel"/>
    <w:tmpl w:val="626AF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B55040"/>
    <w:multiLevelType w:val="hybridMultilevel"/>
    <w:tmpl w:val="BDE0F13A"/>
    <w:lvl w:ilvl="0" w:tplc="FB0EFE9E">
      <w:numFmt w:val="bullet"/>
      <w:lvlText w:val="&gt;"/>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CC6350"/>
    <w:multiLevelType w:val="hybridMultilevel"/>
    <w:tmpl w:val="671E8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723D27"/>
    <w:multiLevelType w:val="hybridMultilevel"/>
    <w:tmpl w:val="4C3AC298"/>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9" w15:restartNumberingAfterBreak="0">
    <w:nsid w:val="2ECC097F"/>
    <w:multiLevelType w:val="hybridMultilevel"/>
    <w:tmpl w:val="1054A6AC"/>
    <w:lvl w:ilvl="0" w:tplc="08504AF2">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311355DB"/>
    <w:multiLevelType w:val="hybridMultilevel"/>
    <w:tmpl w:val="54FE20D2"/>
    <w:lvl w:ilvl="0" w:tplc="3C7487FC">
      <w:start w:val="15"/>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3A6273A"/>
    <w:multiLevelType w:val="hybridMultilevel"/>
    <w:tmpl w:val="1C4CEE84"/>
    <w:lvl w:ilvl="0" w:tplc="08504A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482789"/>
    <w:multiLevelType w:val="hybridMultilevel"/>
    <w:tmpl w:val="7D22273A"/>
    <w:lvl w:ilvl="0" w:tplc="3D3A4FC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8D6157"/>
    <w:multiLevelType w:val="hybridMultilevel"/>
    <w:tmpl w:val="978C5FDA"/>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4" w15:restartNumberingAfterBreak="0">
    <w:nsid w:val="45A17C3B"/>
    <w:multiLevelType w:val="hybridMultilevel"/>
    <w:tmpl w:val="7DDE1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EE0795"/>
    <w:multiLevelType w:val="hybridMultilevel"/>
    <w:tmpl w:val="1A3840D8"/>
    <w:lvl w:ilvl="0" w:tplc="6406C814">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476946F4"/>
    <w:multiLevelType w:val="hybridMultilevel"/>
    <w:tmpl w:val="2B92C7C0"/>
    <w:lvl w:ilvl="0" w:tplc="DE981C18">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E93631"/>
    <w:multiLevelType w:val="hybridMultilevel"/>
    <w:tmpl w:val="7E144DFC"/>
    <w:lvl w:ilvl="0" w:tplc="08504AF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4D00C7"/>
    <w:multiLevelType w:val="hybridMultilevel"/>
    <w:tmpl w:val="E8522824"/>
    <w:lvl w:ilvl="0" w:tplc="08504A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CB032B"/>
    <w:multiLevelType w:val="hybridMultilevel"/>
    <w:tmpl w:val="8C180E7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5E204A81"/>
    <w:multiLevelType w:val="hybridMultilevel"/>
    <w:tmpl w:val="0C1A917E"/>
    <w:lvl w:ilvl="0" w:tplc="6406C81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E462DF"/>
    <w:multiLevelType w:val="hybridMultilevel"/>
    <w:tmpl w:val="66AA0812"/>
    <w:lvl w:ilvl="0" w:tplc="83CEEAD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57E231F"/>
    <w:multiLevelType w:val="hybridMultilevel"/>
    <w:tmpl w:val="0D608B0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788E3392"/>
    <w:multiLevelType w:val="hybridMultilevel"/>
    <w:tmpl w:val="3ADA13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DA875C2"/>
    <w:multiLevelType w:val="hybridMultilevel"/>
    <w:tmpl w:val="6FB854A8"/>
    <w:lvl w:ilvl="0" w:tplc="21A2A152">
      <w:numFmt w:val="bullet"/>
      <w:lvlText w:val="-"/>
      <w:lvlJc w:val="left"/>
      <w:pPr>
        <w:ind w:left="720" w:hanging="360"/>
      </w:pPr>
      <w:rPr>
        <w:rFonts w:ascii="Arial Narrow" w:eastAsiaTheme="minorHAns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E02752C"/>
    <w:multiLevelType w:val="hybridMultilevel"/>
    <w:tmpl w:val="99C6BD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5262938">
    <w:abstractNumId w:val="8"/>
  </w:num>
  <w:num w:numId="2" w16cid:durableId="1085882357">
    <w:abstractNumId w:val="8"/>
  </w:num>
  <w:num w:numId="3" w16cid:durableId="618410566">
    <w:abstractNumId w:val="13"/>
  </w:num>
  <w:num w:numId="4" w16cid:durableId="1681348701">
    <w:abstractNumId w:val="1"/>
  </w:num>
  <w:num w:numId="5" w16cid:durableId="598636408">
    <w:abstractNumId w:val="19"/>
  </w:num>
  <w:num w:numId="6" w16cid:durableId="634600686">
    <w:abstractNumId w:val="5"/>
  </w:num>
  <w:num w:numId="7" w16cid:durableId="1735929593">
    <w:abstractNumId w:val="2"/>
  </w:num>
  <w:num w:numId="8" w16cid:durableId="1461606221">
    <w:abstractNumId w:val="14"/>
  </w:num>
  <w:num w:numId="9" w16cid:durableId="1791707996">
    <w:abstractNumId w:val="24"/>
  </w:num>
  <w:num w:numId="10" w16cid:durableId="1423718392">
    <w:abstractNumId w:val="0"/>
  </w:num>
  <w:num w:numId="11" w16cid:durableId="1388453704">
    <w:abstractNumId w:val="21"/>
  </w:num>
  <w:num w:numId="12" w16cid:durableId="250628553">
    <w:abstractNumId w:val="3"/>
  </w:num>
  <w:num w:numId="13" w16cid:durableId="1831214519">
    <w:abstractNumId w:val="23"/>
  </w:num>
  <w:num w:numId="14" w16cid:durableId="1550218563">
    <w:abstractNumId w:val="25"/>
  </w:num>
  <w:num w:numId="15" w16cid:durableId="1337273279">
    <w:abstractNumId w:val="22"/>
  </w:num>
  <w:num w:numId="16" w16cid:durableId="1554737155">
    <w:abstractNumId w:val="7"/>
  </w:num>
  <w:num w:numId="17" w16cid:durableId="656111584">
    <w:abstractNumId w:val="18"/>
  </w:num>
  <w:num w:numId="18" w16cid:durableId="1303194377">
    <w:abstractNumId w:val="12"/>
  </w:num>
  <w:num w:numId="19" w16cid:durableId="870604793">
    <w:abstractNumId w:val="20"/>
  </w:num>
  <w:num w:numId="20" w16cid:durableId="1330059740">
    <w:abstractNumId w:val="17"/>
  </w:num>
  <w:num w:numId="21" w16cid:durableId="143551755">
    <w:abstractNumId w:val="6"/>
  </w:num>
  <w:num w:numId="22" w16cid:durableId="1719432789">
    <w:abstractNumId w:val="11"/>
  </w:num>
  <w:num w:numId="23" w16cid:durableId="453868520">
    <w:abstractNumId w:val="4"/>
  </w:num>
  <w:num w:numId="24" w16cid:durableId="1673877888">
    <w:abstractNumId w:val="9"/>
  </w:num>
  <w:num w:numId="25" w16cid:durableId="1790584321">
    <w:abstractNumId w:val="15"/>
  </w:num>
  <w:num w:numId="26" w16cid:durableId="1784379468">
    <w:abstractNumId w:val="16"/>
  </w:num>
  <w:num w:numId="27" w16cid:durableId="5883194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FF"/>
    <w:rsid w:val="000021A5"/>
    <w:rsid w:val="000060C1"/>
    <w:rsid w:val="000132DE"/>
    <w:rsid w:val="000164E3"/>
    <w:rsid w:val="00021641"/>
    <w:rsid w:val="000216DB"/>
    <w:rsid w:val="0002545D"/>
    <w:rsid w:val="00031A8A"/>
    <w:rsid w:val="00036B44"/>
    <w:rsid w:val="00042380"/>
    <w:rsid w:val="000468CF"/>
    <w:rsid w:val="0004735E"/>
    <w:rsid w:val="0005313F"/>
    <w:rsid w:val="000558BD"/>
    <w:rsid w:val="00064BF9"/>
    <w:rsid w:val="000715AA"/>
    <w:rsid w:val="00080DBD"/>
    <w:rsid w:val="000A090D"/>
    <w:rsid w:val="000C370B"/>
    <w:rsid w:val="000C63AD"/>
    <w:rsid w:val="000D1A3D"/>
    <w:rsid w:val="000D22A6"/>
    <w:rsid w:val="000D7BE3"/>
    <w:rsid w:val="000E331A"/>
    <w:rsid w:val="000E34ED"/>
    <w:rsid w:val="000F1FFC"/>
    <w:rsid w:val="001016F8"/>
    <w:rsid w:val="00102421"/>
    <w:rsid w:val="0010317D"/>
    <w:rsid w:val="001106E3"/>
    <w:rsid w:val="00111BA1"/>
    <w:rsid w:val="0012274A"/>
    <w:rsid w:val="001276FC"/>
    <w:rsid w:val="00130590"/>
    <w:rsid w:val="00130597"/>
    <w:rsid w:val="0013545B"/>
    <w:rsid w:val="0015617C"/>
    <w:rsid w:val="001628CB"/>
    <w:rsid w:val="00170273"/>
    <w:rsid w:val="00176013"/>
    <w:rsid w:val="00177F25"/>
    <w:rsid w:val="001828AA"/>
    <w:rsid w:val="001A2BB7"/>
    <w:rsid w:val="001A46B1"/>
    <w:rsid w:val="001B2C01"/>
    <w:rsid w:val="001C24D9"/>
    <w:rsid w:val="001D107C"/>
    <w:rsid w:val="001E0185"/>
    <w:rsid w:val="001E3FC5"/>
    <w:rsid w:val="0022090F"/>
    <w:rsid w:val="00221F60"/>
    <w:rsid w:val="00236C3A"/>
    <w:rsid w:val="0025095A"/>
    <w:rsid w:val="00260C4A"/>
    <w:rsid w:val="00266A94"/>
    <w:rsid w:val="00280EDB"/>
    <w:rsid w:val="00284069"/>
    <w:rsid w:val="00285A6E"/>
    <w:rsid w:val="00295E15"/>
    <w:rsid w:val="002A1F58"/>
    <w:rsid w:val="002A3AC0"/>
    <w:rsid w:val="002A6E69"/>
    <w:rsid w:val="002A77CC"/>
    <w:rsid w:val="002B4E61"/>
    <w:rsid w:val="002B59CC"/>
    <w:rsid w:val="002C4F20"/>
    <w:rsid w:val="002D1A4B"/>
    <w:rsid w:val="002D2307"/>
    <w:rsid w:val="002D63DF"/>
    <w:rsid w:val="002D7391"/>
    <w:rsid w:val="002D73B2"/>
    <w:rsid w:val="002F4CE3"/>
    <w:rsid w:val="00307419"/>
    <w:rsid w:val="003118DF"/>
    <w:rsid w:val="003159F9"/>
    <w:rsid w:val="00324544"/>
    <w:rsid w:val="003309D5"/>
    <w:rsid w:val="00332D02"/>
    <w:rsid w:val="003330AA"/>
    <w:rsid w:val="00334B5A"/>
    <w:rsid w:val="00335BB5"/>
    <w:rsid w:val="00351033"/>
    <w:rsid w:val="0035239F"/>
    <w:rsid w:val="003524BC"/>
    <w:rsid w:val="003546C8"/>
    <w:rsid w:val="00356566"/>
    <w:rsid w:val="00360C44"/>
    <w:rsid w:val="003647FA"/>
    <w:rsid w:val="00364941"/>
    <w:rsid w:val="0036537C"/>
    <w:rsid w:val="00372237"/>
    <w:rsid w:val="0039432B"/>
    <w:rsid w:val="003A115A"/>
    <w:rsid w:val="003A519F"/>
    <w:rsid w:val="003B0195"/>
    <w:rsid w:val="003B606C"/>
    <w:rsid w:val="003C0B7E"/>
    <w:rsid w:val="003C6F51"/>
    <w:rsid w:val="003D65C5"/>
    <w:rsid w:val="003E51EE"/>
    <w:rsid w:val="003E59AC"/>
    <w:rsid w:val="003F3A4E"/>
    <w:rsid w:val="004109F3"/>
    <w:rsid w:val="00411086"/>
    <w:rsid w:val="00416615"/>
    <w:rsid w:val="00416BCB"/>
    <w:rsid w:val="00436A70"/>
    <w:rsid w:val="00441D2B"/>
    <w:rsid w:val="00451338"/>
    <w:rsid w:val="00455616"/>
    <w:rsid w:val="004606D2"/>
    <w:rsid w:val="00461FA5"/>
    <w:rsid w:val="00467E74"/>
    <w:rsid w:val="004831E5"/>
    <w:rsid w:val="00490C9D"/>
    <w:rsid w:val="00492C1D"/>
    <w:rsid w:val="00497A30"/>
    <w:rsid w:val="004A0988"/>
    <w:rsid w:val="004A3651"/>
    <w:rsid w:val="004A484F"/>
    <w:rsid w:val="004A7699"/>
    <w:rsid w:val="004A7E3D"/>
    <w:rsid w:val="004C370B"/>
    <w:rsid w:val="004C4B7C"/>
    <w:rsid w:val="004C5917"/>
    <w:rsid w:val="004C74F0"/>
    <w:rsid w:val="004D5A88"/>
    <w:rsid w:val="004E1A2E"/>
    <w:rsid w:val="004E68AD"/>
    <w:rsid w:val="004F0CDE"/>
    <w:rsid w:val="00517789"/>
    <w:rsid w:val="00526062"/>
    <w:rsid w:val="005261BE"/>
    <w:rsid w:val="00527572"/>
    <w:rsid w:val="0053035D"/>
    <w:rsid w:val="005370D6"/>
    <w:rsid w:val="005378F3"/>
    <w:rsid w:val="005419F7"/>
    <w:rsid w:val="00544BC6"/>
    <w:rsid w:val="005510FC"/>
    <w:rsid w:val="00565037"/>
    <w:rsid w:val="005659FF"/>
    <w:rsid w:val="00572C4D"/>
    <w:rsid w:val="005A382B"/>
    <w:rsid w:val="005A3E46"/>
    <w:rsid w:val="005B3146"/>
    <w:rsid w:val="005C118C"/>
    <w:rsid w:val="005C3235"/>
    <w:rsid w:val="005D081C"/>
    <w:rsid w:val="005E0110"/>
    <w:rsid w:val="005E38E8"/>
    <w:rsid w:val="005E4204"/>
    <w:rsid w:val="005F4463"/>
    <w:rsid w:val="00601248"/>
    <w:rsid w:val="006076AC"/>
    <w:rsid w:val="0061019A"/>
    <w:rsid w:val="00623BFF"/>
    <w:rsid w:val="006316AE"/>
    <w:rsid w:val="00636225"/>
    <w:rsid w:val="00636E0A"/>
    <w:rsid w:val="00636EFA"/>
    <w:rsid w:val="006467FF"/>
    <w:rsid w:val="00655793"/>
    <w:rsid w:val="00655E4B"/>
    <w:rsid w:val="00676725"/>
    <w:rsid w:val="006769DC"/>
    <w:rsid w:val="00677826"/>
    <w:rsid w:val="00683E3A"/>
    <w:rsid w:val="00687A2F"/>
    <w:rsid w:val="006A2C42"/>
    <w:rsid w:val="006A392D"/>
    <w:rsid w:val="006A6625"/>
    <w:rsid w:val="006B0083"/>
    <w:rsid w:val="006B4532"/>
    <w:rsid w:val="006B5778"/>
    <w:rsid w:val="006B73A4"/>
    <w:rsid w:val="006C58A2"/>
    <w:rsid w:val="006D3EB0"/>
    <w:rsid w:val="006D793E"/>
    <w:rsid w:val="006F2787"/>
    <w:rsid w:val="00712EEC"/>
    <w:rsid w:val="00721119"/>
    <w:rsid w:val="007236F1"/>
    <w:rsid w:val="00723B45"/>
    <w:rsid w:val="0072549F"/>
    <w:rsid w:val="007262ED"/>
    <w:rsid w:val="007278E7"/>
    <w:rsid w:val="007452ED"/>
    <w:rsid w:val="0074735A"/>
    <w:rsid w:val="007552B9"/>
    <w:rsid w:val="00757247"/>
    <w:rsid w:val="00762721"/>
    <w:rsid w:val="00775647"/>
    <w:rsid w:val="00776423"/>
    <w:rsid w:val="0078764B"/>
    <w:rsid w:val="00787A42"/>
    <w:rsid w:val="007953BA"/>
    <w:rsid w:val="007A06E8"/>
    <w:rsid w:val="007A60C9"/>
    <w:rsid w:val="007D35C5"/>
    <w:rsid w:val="007D4847"/>
    <w:rsid w:val="007E262D"/>
    <w:rsid w:val="007F2DB8"/>
    <w:rsid w:val="007F32EC"/>
    <w:rsid w:val="007F4E1E"/>
    <w:rsid w:val="007F58BA"/>
    <w:rsid w:val="007F7D72"/>
    <w:rsid w:val="00802174"/>
    <w:rsid w:val="0082295C"/>
    <w:rsid w:val="00825951"/>
    <w:rsid w:val="0083207A"/>
    <w:rsid w:val="0083251B"/>
    <w:rsid w:val="008341A3"/>
    <w:rsid w:val="00837F5A"/>
    <w:rsid w:val="008410EF"/>
    <w:rsid w:val="008412B5"/>
    <w:rsid w:val="00855F56"/>
    <w:rsid w:val="0086488A"/>
    <w:rsid w:val="0087356D"/>
    <w:rsid w:val="008858E2"/>
    <w:rsid w:val="00896744"/>
    <w:rsid w:val="008979EE"/>
    <w:rsid w:val="008B5EA1"/>
    <w:rsid w:val="008C465A"/>
    <w:rsid w:val="008D1A56"/>
    <w:rsid w:val="008D3767"/>
    <w:rsid w:val="008E5636"/>
    <w:rsid w:val="008F4922"/>
    <w:rsid w:val="008F6D90"/>
    <w:rsid w:val="00903C2E"/>
    <w:rsid w:val="00912791"/>
    <w:rsid w:val="00921AD7"/>
    <w:rsid w:val="009260BE"/>
    <w:rsid w:val="00930632"/>
    <w:rsid w:val="00932086"/>
    <w:rsid w:val="0095214B"/>
    <w:rsid w:val="00955181"/>
    <w:rsid w:val="009561AA"/>
    <w:rsid w:val="00973ADC"/>
    <w:rsid w:val="00976A07"/>
    <w:rsid w:val="00983843"/>
    <w:rsid w:val="009A0C62"/>
    <w:rsid w:val="009A60A8"/>
    <w:rsid w:val="009B0840"/>
    <w:rsid w:val="009C1DA6"/>
    <w:rsid w:val="009C2B17"/>
    <w:rsid w:val="009D79B1"/>
    <w:rsid w:val="009F115D"/>
    <w:rsid w:val="009F2990"/>
    <w:rsid w:val="009F39E7"/>
    <w:rsid w:val="009F4B67"/>
    <w:rsid w:val="00A01059"/>
    <w:rsid w:val="00A0257D"/>
    <w:rsid w:val="00A10B49"/>
    <w:rsid w:val="00A11D9B"/>
    <w:rsid w:val="00A21D8E"/>
    <w:rsid w:val="00A431EF"/>
    <w:rsid w:val="00A431FE"/>
    <w:rsid w:val="00A60E01"/>
    <w:rsid w:val="00A701F8"/>
    <w:rsid w:val="00A740AA"/>
    <w:rsid w:val="00A7726C"/>
    <w:rsid w:val="00A77343"/>
    <w:rsid w:val="00A802C4"/>
    <w:rsid w:val="00A822A2"/>
    <w:rsid w:val="00A86028"/>
    <w:rsid w:val="00A87B77"/>
    <w:rsid w:val="00A91E4E"/>
    <w:rsid w:val="00A93169"/>
    <w:rsid w:val="00AA2862"/>
    <w:rsid w:val="00AA3013"/>
    <w:rsid w:val="00AB1DBF"/>
    <w:rsid w:val="00AB270F"/>
    <w:rsid w:val="00AC085C"/>
    <w:rsid w:val="00AC1CB7"/>
    <w:rsid w:val="00AC53EA"/>
    <w:rsid w:val="00AD010E"/>
    <w:rsid w:val="00AF4674"/>
    <w:rsid w:val="00AF609A"/>
    <w:rsid w:val="00AF7DC4"/>
    <w:rsid w:val="00B005B1"/>
    <w:rsid w:val="00B011EE"/>
    <w:rsid w:val="00B01634"/>
    <w:rsid w:val="00B02B69"/>
    <w:rsid w:val="00B0482E"/>
    <w:rsid w:val="00B10099"/>
    <w:rsid w:val="00B10A78"/>
    <w:rsid w:val="00B16958"/>
    <w:rsid w:val="00B21F08"/>
    <w:rsid w:val="00B24A8C"/>
    <w:rsid w:val="00B26D92"/>
    <w:rsid w:val="00B323A0"/>
    <w:rsid w:val="00B329D0"/>
    <w:rsid w:val="00B34632"/>
    <w:rsid w:val="00B42819"/>
    <w:rsid w:val="00B464A3"/>
    <w:rsid w:val="00B4739C"/>
    <w:rsid w:val="00B575C5"/>
    <w:rsid w:val="00B650F9"/>
    <w:rsid w:val="00B66883"/>
    <w:rsid w:val="00B7457D"/>
    <w:rsid w:val="00B81630"/>
    <w:rsid w:val="00B830C6"/>
    <w:rsid w:val="00B84B59"/>
    <w:rsid w:val="00B87129"/>
    <w:rsid w:val="00BA01A2"/>
    <w:rsid w:val="00BB0BA1"/>
    <w:rsid w:val="00BB214A"/>
    <w:rsid w:val="00BC67D6"/>
    <w:rsid w:val="00BC7DAB"/>
    <w:rsid w:val="00BD5C87"/>
    <w:rsid w:val="00BE6DCA"/>
    <w:rsid w:val="00BF187D"/>
    <w:rsid w:val="00BF26A1"/>
    <w:rsid w:val="00C035E2"/>
    <w:rsid w:val="00C174BB"/>
    <w:rsid w:val="00C20FA3"/>
    <w:rsid w:val="00C504D7"/>
    <w:rsid w:val="00C511AE"/>
    <w:rsid w:val="00C549D1"/>
    <w:rsid w:val="00C57692"/>
    <w:rsid w:val="00C61DB5"/>
    <w:rsid w:val="00C62683"/>
    <w:rsid w:val="00C80D03"/>
    <w:rsid w:val="00C81BF3"/>
    <w:rsid w:val="00C86B6C"/>
    <w:rsid w:val="00CA34A1"/>
    <w:rsid w:val="00CA7707"/>
    <w:rsid w:val="00CC622D"/>
    <w:rsid w:val="00CD2687"/>
    <w:rsid w:val="00CD2A44"/>
    <w:rsid w:val="00CD3DAE"/>
    <w:rsid w:val="00CD6ADB"/>
    <w:rsid w:val="00CD7618"/>
    <w:rsid w:val="00CD7DB8"/>
    <w:rsid w:val="00CE2411"/>
    <w:rsid w:val="00CE4F31"/>
    <w:rsid w:val="00CF11F1"/>
    <w:rsid w:val="00D14800"/>
    <w:rsid w:val="00D20C64"/>
    <w:rsid w:val="00D2176D"/>
    <w:rsid w:val="00D21B3C"/>
    <w:rsid w:val="00D221DB"/>
    <w:rsid w:val="00D23D63"/>
    <w:rsid w:val="00D266CC"/>
    <w:rsid w:val="00D34AB0"/>
    <w:rsid w:val="00D40606"/>
    <w:rsid w:val="00D5075B"/>
    <w:rsid w:val="00D5138F"/>
    <w:rsid w:val="00D5696B"/>
    <w:rsid w:val="00D77153"/>
    <w:rsid w:val="00D841DA"/>
    <w:rsid w:val="00DA09B3"/>
    <w:rsid w:val="00DB1C76"/>
    <w:rsid w:val="00DB4346"/>
    <w:rsid w:val="00DC13F8"/>
    <w:rsid w:val="00DD3145"/>
    <w:rsid w:val="00DE22B0"/>
    <w:rsid w:val="00DF0946"/>
    <w:rsid w:val="00DF7A3B"/>
    <w:rsid w:val="00E0715D"/>
    <w:rsid w:val="00E13CD8"/>
    <w:rsid w:val="00E14599"/>
    <w:rsid w:val="00E16538"/>
    <w:rsid w:val="00E17650"/>
    <w:rsid w:val="00E20193"/>
    <w:rsid w:val="00E2506A"/>
    <w:rsid w:val="00E35D92"/>
    <w:rsid w:val="00E368A1"/>
    <w:rsid w:val="00E3746F"/>
    <w:rsid w:val="00E37D6C"/>
    <w:rsid w:val="00E448C9"/>
    <w:rsid w:val="00E458D0"/>
    <w:rsid w:val="00E476F1"/>
    <w:rsid w:val="00E47853"/>
    <w:rsid w:val="00E52E8F"/>
    <w:rsid w:val="00E626E5"/>
    <w:rsid w:val="00E66F42"/>
    <w:rsid w:val="00E73E48"/>
    <w:rsid w:val="00E856AA"/>
    <w:rsid w:val="00E8718C"/>
    <w:rsid w:val="00EC1B01"/>
    <w:rsid w:val="00EC2E2C"/>
    <w:rsid w:val="00EC628D"/>
    <w:rsid w:val="00EE6B8F"/>
    <w:rsid w:val="00EF364A"/>
    <w:rsid w:val="00F05079"/>
    <w:rsid w:val="00F31A74"/>
    <w:rsid w:val="00F40CB8"/>
    <w:rsid w:val="00F435F0"/>
    <w:rsid w:val="00F555F0"/>
    <w:rsid w:val="00F6082F"/>
    <w:rsid w:val="00F7370A"/>
    <w:rsid w:val="00F73D82"/>
    <w:rsid w:val="00F75401"/>
    <w:rsid w:val="00F8448E"/>
    <w:rsid w:val="00F85097"/>
    <w:rsid w:val="00F9697E"/>
    <w:rsid w:val="00FA149D"/>
    <w:rsid w:val="00FA5298"/>
    <w:rsid w:val="00FC7F30"/>
    <w:rsid w:val="00FE2C6F"/>
    <w:rsid w:val="00FE3106"/>
    <w:rsid w:val="00FE6367"/>
    <w:rsid w:val="00FE70EB"/>
    <w:rsid w:val="00FF14B2"/>
    <w:rsid w:val="00FF2B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654EC"/>
  <w15:docId w15:val="{8080A1F9-E4A1-47AD-BC1F-11E63D5C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BFF"/>
  </w:style>
  <w:style w:type="paragraph" w:styleId="Titre4">
    <w:name w:val="heading 4"/>
    <w:basedOn w:val="Normal"/>
    <w:next w:val="Normal"/>
    <w:link w:val="Titre4Car"/>
    <w:semiHidden/>
    <w:unhideWhenUsed/>
    <w:qFormat/>
    <w:rsid w:val="00623BFF"/>
    <w:pPr>
      <w:keepNext/>
      <w:spacing w:after="0" w:line="240" w:lineRule="auto"/>
      <w:jc w:val="both"/>
      <w:outlineLvl w:val="3"/>
    </w:pPr>
    <w:rPr>
      <w:rFonts w:ascii="Arial Narrow" w:eastAsia="Times New Roman" w:hAnsi="Arial Narrow" w:cs="Times New Roman"/>
      <w:b/>
      <w:bCs/>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confdepresse">
    <w:name w:val="Sous titre conf de presse"/>
    <w:basedOn w:val="Normal"/>
    <w:qFormat/>
    <w:rsid w:val="00B84B59"/>
    <w:pPr>
      <w:spacing w:after="0" w:line="240" w:lineRule="auto"/>
      <w:jc w:val="both"/>
    </w:pPr>
    <w:rPr>
      <w:rFonts w:ascii="Arial Narrow" w:eastAsia="Times New Roman" w:hAnsi="Arial Narrow" w:cs="Times New Roman"/>
      <w:b/>
      <w:color w:val="0055A0"/>
      <w:sz w:val="24"/>
      <w:lang w:eastAsia="fr-FR"/>
    </w:rPr>
  </w:style>
  <w:style w:type="paragraph" w:customStyle="1" w:styleId="Soustitreencadrconfdepresse">
    <w:name w:val="Sous titre encadré conf de presse"/>
    <w:basedOn w:val="Normal"/>
    <w:qFormat/>
    <w:rsid w:val="00B84B59"/>
    <w:pPr>
      <w:shd w:val="clear" w:color="auto" w:fill="0055A0"/>
      <w:spacing w:after="0" w:line="240" w:lineRule="auto"/>
      <w:jc w:val="center"/>
    </w:pPr>
    <w:rPr>
      <w:rFonts w:ascii="Arial" w:eastAsia="Times New Roman" w:hAnsi="Arial" w:cs="Arial"/>
      <w:b/>
      <w:smallCaps/>
      <w:color w:val="FFFFFF" w:themeColor="background1"/>
      <w:sz w:val="28"/>
      <w:szCs w:val="28"/>
      <w:lang w:eastAsia="fr-FR"/>
    </w:rPr>
  </w:style>
  <w:style w:type="paragraph" w:customStyle="1" w:styleId="Sur-titreconfdepresse">
    <w:name w:val="Sur-titre conf de presse"/>
    <w:basedOn w:val="Normal"/>
    <w:qFormat/>
    <w:rsid w:val="00B84B59"/>
    <w:pPr>
      <w:spacing w:after="0" w:line="240" w:lineRule="auto"/>
      <w:jc w:val="center"/>
    </w:pPr>
    <w:rPr>
      <w:rFonts w:ascii="Arial Narrow" w:eastAsia="Times New Roman" w:hAnsi="Arial Narrow" w:cs="Arial"/>
      <w:b/>
      <w:bCs/>
      <w:color w:val="002060"/>
      <w:sz w:val="28"/>
      <w:szCs w:val="28"/>
      <w:lang w:eastAsia="fr-FR"/>
    </w:rPr>
  </w:style>
  <w:style w:type="character" w:customStyle="1" w:styleId="Titre4Car">
    <w:name w:val="Titre 4 Car"/>
    <w:basedOn w:val="Policepardfaut"/>
    <w:link w:val="Titre4"/>
    <w:semiHidden/>
    <w:rsid w:val="00623BFF"/>
    <w:rPr>
      <w:rFonts w:ascii="Arial Narrow" w:eastAsia="Times New Roman" w:hAnsi="Arial Narrow" w:cs="Times New Roman"/>
      <w:b/>
      <w:bCs/>
      <w:sz w:val="24"/>
      <w:szCs w:val="24"/>
      <w:u w:val="single"/>
      <w:lang w:eastAsia="fr-FR"/>
    </w:rPr>
  </w:style>
  <w:style w:type="character" w:styleId="Lienhypertexte">
    <w:name w:val="Hyperlink"/>
    <w:basedOn w:val="Policepardfaut"/>
    <w:uiPriority w:val="99"/>
    <w:unhideWhenUsed/>
    <w:rsid w:val="00623BFF"/>
    <w:rPr>
      <w:color w:val="0000FF"/>
      <w:u w:val="single"/>
    </w:rPr>
  </w:style>
  <w:style w:type="paragraph" w:styleId="Corpsdetexte">
    <w:name w:val="Body Text"/>
    <w:basedOn w:val="Normal"/>
    <w:link w:val="CorpsdetexteCar"/>
    <w:unhideWhenUsed/>
    <w:rsid w:val="00623BFF"/>
    <w:pPr>
      <w:spacing w:after="0" w:line="240" w:lineRule="auto"/>
      <w:jc w:val="both"/>
    </w:pPr>
    <w:rPr>
      <w:rFonts w:ascii="Times New Roman" w:eastAsia="Times New Roman" w:hAnsi="Times New Roman" w:cs="Times New Roman"/>
      <w:sz w:val="26"/>
      <w:szCs w:val="24"/>
      <w:lang w:eastAsia="fr-FR"/>
    </w:rPr>
  </w:style>
  <w:style w:type="character" w:customStyle="1" w:styleId="CorpsdetexteCar">
    <w:name w:val="Corps de texte Car"/>
    <w:basedOn w:val="Policepardfaut"/>
    <w:link w:val="Corpsdetexte"/>
    <w:rsid w:val="00623BFF"/>
    <w:rPr>
      <w:rFonts w:ascii="Times New Roman" w:eastAsia="Times New Roman" w:hAnsi="Times New Roman" w:cs="Times New Roman"/>
      <w:sz w:val="26"/>
      <w:szCs w:val="24"/>
      <w:lang w:eastAsia="fr-FR"/>
    </w:rPr>
  </w:style>
  <w:style w:type="paragraph" w:styleId="Paragraphedeliste">
    <w:name w:val="List Paragraph"/>
    <w:basedOn w:val="Normal"/>
    <w:uiPriority w:val="34"/>
    <w:qFormat/>
    <w:rsid w:val="00623BFF"/>
    <w:pPr>
      <w:ind w:left="720"/>
      <w:contextualSpacing/>
    </w:pPr>
  </w:style>
  <w:style w:type="paragraph" w:styleId="En-tte">
    <w:name w:val="header"/>
    <w:basedOn w:val="Normal"/>
    <w:link w:val="En-tteCar"/>
    <w:uiPriority w:val="99"/>
    <w:unhideWhenUsed/>
    <w:rsid w:val="00416BCB"/>
    <w:pPr>
      <w:tabs>
        <w:tab w:val="center" w:pos="4536"/>
        <w:tab w:val="right" w:pos="9072"/>
      </w:tabs>
      <w:spacing w:after="0" w:line="240" w:lineRule="auto"/>
    </w:pPr>
  </w:style>
  <w:style w:type="character" w:customStyle="1" w:styleId="En-tteCar">
    <w:name w:val="En-tête Car"/>
    <w:basedOn w:val="Policepardfaut"/>
    <w:link w:val="En-tte"/>
    <w:uiPriority w:val="99"/>
    <w:rsid w:val="00416BCB"/>
  </w:style>
  <w:style w:type="paragraph" w:styleId="Pieddepage">
    <w:name w:val="footer"/>
    <w:basedOn w:val="Normal"/>
    <w:link w:val="PieddepageCar"/>
    <w:uiPriority w:val="99"/>
    <w:unhideWhenUsed/>
    <w:rsid w:val="00416B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6BCB"/>
  </w:style>
  <w:style w:type="paragraph" w:styleId="Textedebulles">
    <w:name w:val="Balloon Text"/>
    <w:basedOn w:val="Normal"/>
    <w:link w:val="TextedebullesCar"/>
    <w:uiPriority w:val="99"/>
    <w:semiHidden/>
    <w:unhideWhenUsed/>
    <w:rsid w:val="00416B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6BCB"/>
    <w:rPr>
      <w:rFonts w:ascii="Tahoma" w:hAnsi="Tahoma" w:cs="Tahoma"/>
      <w:sz w:val="16"/>
      <w:szCs w:val="16"/>
    </w:rPr>
  </w:style>
  <w:style w:type="character" w:styleId="Accentuation">
    <w:name w:val="Emphasis"/>
    <w:basedOn w:val="Policepardfaut"/>
    <w:uiPriority w:val="20"/>
    <w:qFormat/>
    <w:rsid w:val="00855F56"/>
    <w:rPr>
      <w:i/>
      <w:iCs/>
    </w:rPr>
  </w:style>
  <w:style w:type="paragraph" w:styleId="NormalWeb">
    <w:name w:val="Normal (Web)"/>
    <w:basedOn w:val="Normal"/>
    <w:uiPriority w:val="99"/>
    <w:unhideWhenUsed/>
    <w:rsid w:val="00E16538"/>
    <w:pPr>
      <w:spacing w:before="100" w:beforeAutospacing="1" w:after="100" w:afterAutospacing="1" w:line="240" w:lineRule="auto"/>
    </w:pPr>
    <w:rPr>
      <w:rFonts w:ascii="Times New Roman" w:hAnsi="Times New Roman" w:cs="Times New Roman"/>
      <w:sz w:val="24"/>
      <w:szCs w:val="24"/>
      <w:lang w:eastAsia="fr-FR"/>
    </w:rPr>
  </w:style>
  <w:style w:type="paragraph" w:styleId="Notedefin">
    <w:name w:val="endnote text"/>
    <w:basedOn w:val="Normal"/>
    <w:link w:val="NotedefinCar"/>
    <w:uiPriority w:val="99"/>
    <w:semiHidden/>
    <w:unhideWhenUsed/>
    <w:rsid w:val="004F0CDE"/>
    <w:pPr>
      <w:spacing w:after="0" w:line="240" w:lineRule="auto"/>
    </w:pPr>
    <w:rPr>
      <w:sz w:val="20"/>
      <w:szCs w:val="20"/>
    </w:rPr>
  </w:style>
  <w:style w:type="character" w:customStyle="1" w:styleId="NotedefinCar">
    <w:name w:val="Note de fin Car"/>
    <w:basedOn w:val="Policepardfaut"/>
    <w:link w:val="Notedefin"/>
    <w:uiPriority w:val="99"/>
    <w:semiHidden/>
    <w:rsid w:val="004F0CDE"/>
    <w:rPr>
      <w:sz w:val="20"/>
      <w:szCs w:val="20"/>
    </w:rPr>
  </w:style>
  <w:style w:type="character" w:styleId="Appeldenotedefin">
    <w:name w:val="endnote reference"/>
    <w:basedOn w:val="Policepardfaut"/>
    <w:uiPriority w:val="99"/>
    <w:semiHidden/>
    <w:unhideWhenUsed/>
    <w:rsid w:val="004F0CDE"/>
    <w:rPr>
      <w:vertAlign w:val="superscript"/>
    </w:rPr>
  </w:style>
  <w:style w:type="paragraph" w:customStyle="1" w:styleId="Default">
    <w:name w:val="Default"/>
    <w:rsid w:val="00CC62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19893">
      <w:bodyDiv w:val="1"/>
      <w:marLeft w:val="0"/>
      <w:marRight w:val="0"/>
      <w:marTop w:val="0"/>
      <w:marBottom w:val="0"/>
      <w:divBdr>
        <w:top w:val="none" w:sz="0" w:space="0" w:color="auto"/>
        <w:left w:val="none" w:sz="0" w:space="0" w:color="auto"/>
        <w:bottom w:val="none" w:sz="0" w:space="0" w:color="auto"/>
        <w:right w:val="none" w:sz="0" w:space="0" w:color="auto"/>
      </w:divBdr>
      <w:divsChild>
        <w:div w:id="1216551268">
          <w:marLeft w:val="0"/>
          <w:marRight w:val="0"/>
          <w:marTop w:val="0"/>
          <w:marBottom w:val="0"/>
          <w:divBdr>
            <w:top w:val="none" w:sz="0" w:space="0" w:color="auto"/>
            <w:left w:val="none" w:sz="0" w:space="0" w:color="auto"/>
            <w:bottom w:val="none" w:sz="0" w:space="0" w:color="auto"/>
            <w:right w:val="none" w:sz="0" w:space="0" w:color="auto"/>
          </w:divBdr>
        </w:div>
        <w:div w:id="657002898">
          <w:marLeft w:val="0"/>
          <w:marRight w:val="0"/>
          <w:marTop w:val="0"/>
          <w:marBottom w:val="0"/>
          <w:divBdr>
            <w:top w:val="none" w:sz="0" w:space="0" w:color="auto"/>
            <w:left w:val="none" w:sz="0" w:space="0" w:color="auto"/>
            <w:bottom w:val="none" w:sz="0" w:space="0" w:color="auto"/>
            <w:right w:val="none" w:sz="0" w:space="0" w:color="auto"/>
          </w:divBdr>
        </w:div>
        <w:div w:id="322437490">
          <w:marLeft w:val="0"/>
          <w:marRight w:val="0"/>
          <w:marTop w:val="0"/>
          <w:marBottom w:val="0"/>
          <w:divBdr>
            <w:top w:val="none" w:sz="0" w:space="0" w:color="auto"/>
            <w:left w:val="none" w:sz="0" w:space="0" w:color="auto"/>
            <w:bottom w:val="none" w:sz="0" w:space="0" w:color="auto"/>
            <w:right w:val="none" w:sz="0" w:space="0" w:color="auto"/>
          </w:divBdr>
        </w:div>
        <w:div w:id="2127920260">
          <w:marLeft w:val="0"/>
          <w:marRight w:val="0"/>
          <w:marTop w:val="0"/>
          <w:marBottom w:val="0"/>
          <w:divBdr>
            <w:top w:val="none" w:sz="0" w:space="0" w:color="auto"/>
            <w:left w:val="none" w:sz="0" w:space="0" w:color="auto"/>
            <w:bottom w:val="none" w:sz="0" w:space="0" w:color="auto"/>
            <w:right w:val="none" w:sz="0" w:space="0" w:color="auto"/>
          </w:divBdr>
        </w:div>
        <w:div w:id="1960647759">
          <w:marLeft w:val="0"/>
          <w:marRight w:val="0"/>
          <w:marTop w:val="0"/>
          <w:marBottom w:val="0"/>
          <w:divBdr>
            <w:top w:val="none" w:sz="0" w:space="0" w:color="auto"/>
            <w:left w:val="none" w:sz="0" w:space="0" w:color="auto"/>
            <w:bottom w:val="none" w:sz="0" w:space="0" w:color="auto"/>
            <w:right w:val="none" w:sz="0" w:space="0" w:color="auto"/>
          </w:divBdr>
        </w:div>
        <w:div w:id="201139755">
          <w:marLeft w:val="0"/>
          <w:marRight w:val="0"/>
          <w:marTop w:val="0"/>
          <w:marBottom w:val="0"/>
          <w:divBdr>
            <w:top w:val="none" w:sz="0" w:space="0" w:color="auto"/>
            <w:left w:val="none" w:sz="0" w:space="0" w:color="auto"/>
            <w:bottom w:val="none" w:sz="0" w:space="0" w:color="auto"/>
            <w:right w:val="none" w:sz="0" w:space="0" w:color="auto"/>
          </w:divBdr>
        </w:div>
        <w:div w:id="1472601723">
          <w:marLeft w:val="0"/>
          <w:marRight w:val="0"/>
          <w:marTop w:val="0"/>
          <w:marBottom w:val="0"/>
          <w:divBdr>
            <w:top w:val="none" w:sz="0" w:space="0" w:color="auto"/>
            <w:left w:val="none" w:sz="0" w:space="0" w:color="auto"/>
            <w:bottom w:val="none" w:sz="0" w:space="0" w:color="auto"/>
            <w:right w:val="none" w:sz="0" w:space="0" w:color="auto"/>
          </w:divBdr>
        </w:div>
        <w:div w:id="1925647485">
          <w:marLeft w:val="0"/>
          <w:marRight w:val="0"/>
          <w:marTop w:val="0"/>
          <w:marBottom w:val="0"/>
          <w:divBdr>
            <w:top w:val="none" w:sz="0" w:space="0" w:color="auto"/>
            <w:left w:val="none" w:sz="0" w:space="0" w:color="auto"/>
            <w:bottom w:val="none" w:sz="0" w:space="0" w:color="auto"/>
            <w:right w:val="none" w:sz="0" w:space="0" w:color="auto"/>
          </w:divBdr>
        </w:div>
        <w:div w:id="796097372">
          <w:marLeft w:val="0"/>
          <w:marRight w:val="0"/>
          <w:marTop w:val="0"/>
          <w:marBottom w:val="0"/>
          <w:divBdr>
            <w:top w:val="none" w:sz="0" w:space="0" w:color="auto"/>
            <w:left w:val="none" w:sz="0" w:space="0" w:color="auto"/>
            <w:bottom w:val="none" w:sz="0" w:space="0" w:color="auto"/>
            <w:right w:val="none" w:sz="0" w:space="0" w:color="auto"/>
          </w:divBdr>
        </w:div>
        <w:div w:id="691227311">
          <w:marLeft w:val="0"/>
          <w:marRight w:val="0"/>
          <w:marTop w:val="0"/>
          <w:marBottom w:val="0"/>
          <w:divBdr>
            <w:top w:val="none" w:sz="0" w:space="0" w:color="auto"/>
            <w:left w:val="none" w:sz="0" w:space="0" w:color="auto"/>
            <w:bottom w:val="none" w:sz="0" w:space="0" w:color="auto"/>
            <w:right w:val="none" w:sz="0" w:space="0" w:color="auto"/>
          </w:divBdr>
        </w:div>
        <w:div w:id="699470894">
          <w:marLeft w:val="0"/>
          <w:marRight w:val="0"/>
          <w:marTop w:val="0"/>
          <w:marBottom w:val="0"/>
          <w:divBdr>
            <w:top w:val="none" w:sz="0" w:space="0" w:color="auto"/>
            <w:left w:val="none" w:sz="0" w:space="0" w:color="auto"/>
            <w:bottom w:val="none" w:sz="0" w:space="0" w:color="auto"/>
            <w:right w:val="none" w:sz="0" w:space="0" w:color="auto"/>
          </w:divBdr>
        </w:div>
      </w:divsChild>
    </w:div>
    <w:div w:id="1232233597">
      <w:bodyDiv w:val="1"/>
      <w:marLeft w:val="0"/>
      <w:marRight w:val="0"/>
      <w:marTop w:val="0"/>
      <w:marBottom w:val="0"/>
      <w:divBdr>
        <w:top w:val="none" w:sz="0" w:space="0" w:color="auto"/>
        <w:left w:val="none" w:sz="0" w:space="0" w:color="auto"/>
        <w:bottom w:val="none" w:sz="0" w:space="0" w:color="auto"/>
        <w:right w:val="none" w:sz="0" w:space="0" w:color="auto"/>
      </w:divBdr>
    </w:div>
    <w:div w:id="1277640852">
      <w:bodyDiv w:val="1"/>
      <w:marLeft w:val="0"/>
      <w:marRight w:val="0"/>
      <w:marTop w:val="0"/>
      <w:marBottom w:val="0"/>
      <w:divBdr>
        <w:top w:val="none" w:sz="0" w:space="0" w:color="auto"/>
        <w:left w:val="none" w:sz="0" w:space="0" w:color="auto"/>
        <w:bottom w:val="none" w:sz="0" w:space="0" w:color="auto"/>
        <w:right w:val="none" w:sz="0" w:space="0" w:color="auto"/>
      </w:divBdr>
    </w:div>
    <w:div w:id="1353722890">
      <w:bodyDiv w:val="1"/>
      <w:marLeft w:val="0"/>
      <w:marRight w:val="0"/>
      <w:marTop w:val="0"/>
      <w:marBottom w:val="0"/>
      <w:divBdr>
        <w:top w:val="none" w:sz="0" w:space="0" w:color="auto"/>
        <w:left w:val="none" w:sz="0" w:space="0" w:color="auto"/>
        <w:bottom w:val="none" w:sz="0" w:space="0" w:color="auto"/>
        <w:right w:val="none" w:sz="0" w:space="0" w:color="auto"/>
      </w:divBdr>
      <w:divsChild>
        <w:div w:id="1537347280">
          <w:marLeft w:val="0"/>
          <w:marRight w:val="0"/>
          <w:marTop w:val="0"/>
          <w:marBottom w:val="0"/>
          <w:divBdr>
            <w:top w:val="none" w:sz="0" w:space="0" w:color="auto"/>
            <w:left w:val="none" w:sz="0" w:space="0" w:color="auto"/>
            <w:bottom w:val="none" w:sz="0" w:space="0" w:color="auto"/>
            <w:right w:val="none" w:sz="0" w:space="0" w:color="auto"/>
          </w:divBdr>
        </w:div>
        <w:div w:id="1093283708">
          <w:marLeft w:val="0"/>
          <w:marRight w:val="0"/>
          <w:marTop w:val="0"/>
          <w:marBottom w:val="0"/>
          <w:divBdr>
            <w:top w:val="none" w:sz="0" w:space="0" w:color="auto"/>
            <w:left w:val="none" w:sz="0" w:space="0" w:color="auto"/>
            <w:bottom w:val="none" w:sz="0" w:space="0" w:color="auto"/>
            <w:right w:val="none" w:sz="0" w:space="0" w:color="auto"/>
          </w:divBdr>
        </w:div>
        <w:div w:id="1170369797">
          <w:marLeft w:val="0"/>
          <w:marRight w:val="0"/>
          <w:marTop w:val="0"/>
          <w:marBottom w:val="0"/>
          <w:divBdr>
            <w:top w:val="none" w:sz="0" w:space="0" w:color="auto"/>
            <w:left w:val="none" w:sz="0" w:space="0" w:color="auto"/>
            <w:bottom w:val="none" w:sz="0" w:space="0" w:color="auto"/>
            <w:right w:val="none" w:sz="0" w:space="0" w:color="auto"/>
          </w:divBdr>
        </w:div>
        <w:div w:id="274825005">
          <w:marLeft w:val="0"/>
          <w:marRight w:val="0"/>
          <w:marTop w:val="0"/>
          <w:marBottom w:val="0"/>
          <w:divBdr>
            <w:top w:val="none" w:sz="0" w:space="0" w:color="auto"/>
            <w:left w:val="none" w:sz="0" w:space="0" w:color="auto"/>
            <w:bottom w:val="none" w:sz="0" w:space="0" w:color="auto"/>
            <w:right w:val="none" w:sz="0" w:space="0" w:color="auto"/>
          </w:divBdr>
        </w:div>
        <w:div w:id="234441175">
          <w:marLeft w:val="0"/>
          <w:marRight w:val="0"/>
          <w:marTop w:val="0"/>
          <w:marBottom w:val="0"/>
          <w:divBdr>
            <w:top w:val="none" w:sz="0" w:space="0" w:color="auto"/>
            <w:left w:val="none" w:sz="0" w:space="0" w:color="auto"/>
            <w:bottom w:val="none" w:sz="0" w:space="0" w:color="auto"/>
            <w:right w:val="none" w:sz="0" w:space="0" w:color="auto"/>
          </w:divBdr>
        </w:div>
      </w:divsChild>
    </w:div>
    <w:div w:id="1391341050">
      <w:bodyDiv w:val="1"/>
      <w:marLeft w:val="0"/>
      <w:marRight w:val="0"/>
      <w:marTop w:val="0"/>
      <w:marBottom w:val="0"/>
      <w:divBdr>
        <w:top w:val="none" w:sz="0" w:space="0" w:color="auto"/>
        <w:left w:val="none" w:sz="0" w:space="0" w:color="auto"/>
        <w:bottom w:val="none" w:sz="0" w:space="0" w:color="auto"/>
        <w:right w:val="none" w:sz="0" w:space="0" w:color="auto"/>
      </w:divBdr>
    </w:div>
    <w:div w:id="1403408101">
      <w:bodyDiv w:val="1"/>
      <w:marLeft w:val="0"/>
      <w:marRight w:val="0"/>
      <w:marTop w:val="0"/>
      <w:marBottom w:val="0"/>
      <w:divBdr>
        <w:top w:val="none" w:sz="0" w:space="0" w:color="auto"/>
        <w:left w:val="none" w:sz="0" w:space="0" w:color="auto"/>
        <w:bottom w:val="none" w:sz="0" w:space="0" w:color="auto"/>
        <w:right w:val="none" w:sz="0" w:space="0" w:color="auto"/>
      </w:divBdr>
    </w:div>
    <w:div w:id="1412314834">
      <w:bodyDiv w:val="1"/>
      <w:marLeft w:val="0"/>
      <w:marRight w:val="0"/>
      <w:marTop w:val="0"/>
      <w:marBottom w:val="0"/>
      <w:divBdr>
        <w:top w:val="none" w:sz="0" w:space="0" w:color="auto"/>
        <w:left w:val="none" w:sz="0" w:space="0" w:color="auto"/>
        <w:bottom w:val="none" w:sz="0" w:space="0" w:color="auto"/>
        <w:right w:val="none" w:sz="0" w:space="0" w:color="auto"/>
      </w:divBdr>
    </w:div>
    <w:div w:id="1672759969">
      <w:bodyDiv w:val="1"/>
      <w:marLeft w:val="0"/>
      <w:marRight w:val="0"/>
      <w:marTop w:val="0"/>
      <w:marBottom w:val="0"/>
      <w:divBdr>
        <w:top w:val="none" w:sz="0" w:space="0" w:color="auto"/>
        <w:left w:val="none" w:sz="0" w:space="0" w:color="auto"/>
        <w:bottom w:val="none" w:sz="0" w:space="0" w:color="auto"/>
        <w:right w:val="none" w:sz="0" w:space="0" w:color="auto"/>
      </w:divBdr>
      <w:divsChild>
        <w:div w:id="796676495">
          <w:marLeft w:val="0"/>
          <w:marRight w:val="0"/>
          <w:marTop w:val="0"/>
          <w:marBottom w:val="0"/>
          <w:divBdr>
            <w:top w:val="none" w:sz="0" w:space="0" w:color="auto"/>
            <w:left w:val="none" w:sz="0" w:space="0" w:color="auto"/>
            <w:bottom w:val="none" w:sz="0" w:space="0" w:color="auto"/>
            <w:right w:val="none" w:sz="0" w:space="0" w:color="auto"/>
          </w:divBdr>
          <w:divsChild>
            <w:div w:id="1007320007">
              <w:marLeft w:val="0"/>
              <w:marRight w:val="0"/>
              <w:marTop w:val="0"/>
              <w:marBottom w:val="0"/>
              <w:divBdr>
                <w:top w:val="none" w:sz="0" w:space="0" w:color="auto"/>
                <w:left w:val="none" w:sz="0" w:space="0" w:color="auto"/>
                <w:bottom w:val="none" w:sz="0" w:space="0" w:color="auto"/>
                <w:right w:val="none" w:sz="0" w:space="0" w:color="auto"/>
              </w:divBdr>
              <w:divsChild>
                <w:div w:id="329529793">
                  <w:marLeft w:val="0"/>
                  <w:marRight w:val="0"/>
                  <w:marTop w:val="0"/>
                  <w:marBottom w:val="0"/>
                  <w:divBdr>
                    <w:top w:val="none" w:sz="0" w:space="0" w:color="auto"/>
                    <w:left w:val="none" w:sz="0" w:space="0" w:color="auto"/>
                    <w:bottom w:val="none" w:sz="0" w:space="0" w:color="auto"/>
                    <w:right w:val="none" w:sz="0" w:space="0" w:color="auto"/>
                  </w:divBdr>
                </w:div>
                <w:div w:id="679814206">
                  <w:marLeft w:val="0"/>
                  <w:marRight w:val="0"/>
                  <w:marTop w:val="0"/>
                  <w:marBottom w:val="0"/>
                  <w:divBdr>
                    <w:top w:val="none" w:sz="0" w:space="0" w:color="auto"/>
                    <w:left w:val="none" w:sz="0" w:space="0" w:color="auto"/>
                    <w:bottom w:val="none" w:sz="0" w:space="0" w:color="auto"/>
                    <w:right w:val="none" w:sz="0" w:space="0" w:color="auto"/>
                  </w:divBdr>
                </w:div>
                <w:div w:id="1665817843">
                  <w:marLeft w:val="0"/>
                  <w:marRight w:val="0"/>
                  <w:marTop w:val="0"/>
                  <w:marBottom w:val="0"/>
                  <w:divBdr>
                    <w:top w:val="none" w:sz="0" w:space="0" w:color="auto"/>
                    <w:left w:val="none" w:sz="0" w:space="0" w:color="auto"/>
                    <w:bottom w:val="none" w:sz="0" w:space="0" w:color="auto"/>
                    <w:right w:val="none" w:sz="0" w:space="0" w:color="auto"/>
                  </w:divBdr>
                </w:div>
                <w:div w:id="43994739">
                  <w:marLeft w:val="0"/>
                  <w:marRight w:val="0"/>
                  <w:marTop w:val="0"/>
                  <w:marBottom w:val="0"/>
                  <w:divBdr>
                    <w:top w:val="none" w:sz="0" w:space="0" w:color="auto"/>
                    <w:left w:val="none" w:sz="0" w:space="0" w:color="auto"/>
                    <w:bottom w:val="none" w:sz="0" w:space="0" w:color="auto"/>
                    <w:right w:val="none" w:sz="0" w:space="0" w:color="auto"/>
                  </w:divBdr>
                </w:div>
                <w:div w:id="792791533">
                  <w:marLeft w:val="0"/>
                  <w:marRight w:val="0"/>
                  <w:marTop w:val="0"/>
                  <w:marBottom w:val="0"/>
                  <w:divBdr>
                    <w:top w:val="none" w:sz="0" w:space="0" w:color="auto"/>
                    <w:left w:val="none" w:sz="0" w:space="0" w:color="auto"/>
                    <w:bottom w:val="none" w:sz="0" w:space="0" w:color="auto"/>
                    <w:right w:val="none" w:sz="0" w:space="0" w:color="auto"/>
                  </w:divBdr>
                </w:div>
                <w:div w:id="1276789801">
                  <w:marLeft w:val="0"/>
                  <w:marRight w:val="0"/>
                  <w:marTop w:val="0"/>
                  <w:marBottom w:val="0"/>
                  <w:divBdr>
                    <w:top w:val="none" w:sz="0" w:space="0" w:color="auto"/>
                    <w:left w:val="none" w:sz="0" w:space="0" w:color="auto"/>
                    <w:bottom w:val="none" w:sz="0" w:space="0" w:color="auto"/>
                    <w:right w:val="none" w:sz="0" w:space="0" w:color="auto"/>
                  </w:divBdr>
                </w:div>
                <w:div w:id="1820000730">
                  <w:marLeft w:val="0"/>
                  <w:marRight w:val="0"/>
                  <w:marTop w:val="0"/>
                  <w:marBottom w:val="0"/>
                  <w:divBdr>
                    <w:top w:val="none" w:sz="0" w:space="0" w:color="auto"/>
                    <w:left w:val="none" w:sz="0" w:space="0" w:color="auto"/>
                    <w:bottom w:val="none" w:sz="0" w:space="0" w:color="auto"/>
                    <w:right w:val="none" w:sz="0" w:space="0" w:color="auto"/>
                  </w:divBdr>
                </w:div>
                <w:div w:id="453064790">
                  <w:marLeft w:val="0"/>
                  <w:marRight w:val="0"/>
                  <w:marTop w:val="0"/>
                  <w:marBottom w:val="0"/>
                  <w:divBdr>
                    <w:top w:val="none" w:sz="0" w:space="0" w:color="auto"/>
                    <w:left w:val="none" w:sz="0" w:space="0" w:color="auto"/>
                    <w:bottom w:val="none" w:sz="0" w:space="0" w:color="auto"/>
                    <w:right w:val="none" w:sz="0" w:space="0" w:color="auto"/>
                  </w:divBdr>
                </w:div>
                <w:div w:id="1394233277">
                  <w:marLeft w:val="0"/>
                  <w:marRight w:val="0"/>
                  <w:marTop w:val="0"/>
                  <w:marBottom w:val="0"/>
                  <w:divBdr>
                    <w:top w:val="none" w:sz="0" w:space="0" w:color="auto"/>
                    <w:left w:val="none" w:sz="0" w:space="0" w:color="auto"/>
                    <w:bottom w:val="none" w:sz="0" w:space="0" w:color="auto"/>
                    <w:right w:val="none" w:sz="0" w:space="0" w:color="auto"/>
                  </w:divBdr>
                </w:div>
                <w:div w:id="912666495">
                  <w:marLeft w:val="0"/>
                  <w:marRight w:val="0"/>
                  <w:marTop w:val="0"/>
                  <w:marBottom w:val="0"/>
                  <w:divBdr>
                    <w:top w:val="none" w:sz="0" w:space="0" w:color="auto"/>
                    <w:left w:val="none" w:sz="0" w:space="0" w:color="auto"/>
                    <w:bottom w:val="none" w:sz="0" w:space="0" w:color="auto"/>
                    <w:right w:val="none" w:sz="0" w:space="0" w:color="auto"/>
                  </w:divBdr>
                </w:div>
                <w:div w:id="10504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7447">
          <w:marLeft w:val="0"/>
          <w:marRight w:val="0"/>
          <w:marTop w:val="0"/>
          <w:marBottom w:val="0"/>
          <w:divBdr>
            <w:top w:val="none" w:sz="0" w:space="0" w:color="auto"/>
            <w:left w:val="none" w:sz="0" w:space="0" w:color="auto"/>
            <w:bottom w:val="none" w:sz="0" w:space="0" w:color="auto"/>
            <w:right w:val="none" w:sz="0" w:space="0" w:color="auto"/>
          </w:divBdr>
          <w:divsChild>
            <w:div w:id="1570074500">
              <w:marLeft w:val="0"/>
              <w:marRight w:val="0"/>
              <w:marTop w:val="0"/>
              <w:marBottom w:val="0"/>
              <w:divBdr>
                <w:top w:val="none" w:sz="0" w:space="0" w:color="auto"/>
                <w:left w:val="none" w:sz="0" w:space="0" w:color="auto"/>
                <w:bottom w:val="none" w:sz="0" w:space="0" w:color="auto"/>
                <w:right w:val="none" w:sz="0" w:space="0" w:color="auto"/>
              </w:divBdr>
              <w:divsChild>
                <w:div w:id="2114933986">
                  <w:marLeft w:val="0"/>
                  <w:marRight w:val="0"/>
                  <w:marTop w:val="0"/>
                  <w:marBottom w:val="0"/>
                  <w:divBdr>
                    <w:top w:val="none" w:sz="0" w:space="0" w:color="auto"/>
                    <w:left w:val="none" w:sz="0" w:space="0" w:color="auto"/>
                    <w:bottom w:val="none" w:sz="0" w:space="0" w:color="auto"/>
                    <w:right w:val="none" w:sz="0" w:space="0" w:color="auto"/>
                  </w:divBdr>
                </w:div>
                <w:div w:id="2037078404">
                  <w:marLeft w:val="0"/>
                  <w:marRight w:val="0"/>
                  <w:marTop w:val="0"/>
                  <w:marBottom w:val="0"/>
                  <w:divBdr>
                    <w:top w:val="none" w:sz="0" w:space="0" w:color="auto"/>
                    <w:left w:val="none" w:sz="0" w:space="0" w:color="auto"/>
                    <w:bottom w:val="none" w:sz="0" w:space="0" w:color="auto"/>
                    <w:right w:val="none" w:sz="0" w:space="0" w:color="auto"/>
                  </w:divBdr>
                </w:div>
                <w:div w:id="784035293">
                  <w:marLeft w:val="0"/>
                  <w:marRight w:val="0"/>
                  <w:marTop w:val="0"/>
                  <w:marBottom w:val="0"/>
                  <w:divBdr>
                    <w:top w:val="none" w:sz="0" w:space="0" w:color="auto"/>
                    <w:left w:val="none" w:sz="0" w:space="0" w:color="auto"/>
                    <w:bottom w:val="none" w:sz="0" w:space="0" w:color="auto"/>
                    <w:right w:val="none" w:sz="0" w:space="0" w:color="auto"/>
                  </w:divBdr>
                </w:div>
                <w:div w:id="1925991378">
                  <w:marLeft w:val="0"/>
                  <w:marRight w:val="0"/>
                  <w:marTop w:val="0"/>
                  <w:marBottom w:val="0"/>
                  <w:divBdr>
                    <w:top w:val="none" w:sz="0" w:space="0" w:color="auto"/>
                    <w:left w:val="none" w:sz="0" w:space="0" w:color="auto"/>
                    <w:bottom w:val="none" w:sz="0" w:space="0" w:color="auto"/>
                    <w:right w:val="none" w:sz="0" w:space="0" w:color="auto"/>
                  </w:divBdr>
                </w:div>
                <w:div w:id="1203055154">
                  <w:marLeft w:val="0"/>
                  <w:marRight w:val="0"/>
                  <w:marTop w:val="0"/>
                  <w:marBottom w:val="0"/>
                  <w:divBdr>
                    <w:top w:val="none" w:sz="0" w:space="0" w:color="auto"/>
                    <w:left w:val="none" w:sz="0" w:space="0" w:color="auto"/>
                    <w:bottom w:val="none" w:sz="0" w:space="0" w:color="auto"/>
                    <w:right w:val="none" w:sz="0" w:space="0" w:color="auto"/>
                  </w:divBdr>
                </w:div>
                <w:div w:id="1295330176">
                  <w:marLeft w:val="0"/>
                  <w:marRight w:val="0"/>
                  <w:marTop w:val="0"/>
                  <w:marBottom w:val="0"/>
                  <w:divBdr>
                    <w:top w:val="none" w:sz="0" w:space="0" w:color="auto"/>
                    <w:left w:val="none" w:sz="0" w:space="0" w:color="auto"/>
                    <w:bottom w:val="none" w:sz="0" w:space="0" w:color="auto"/>
                    <w:right w:val="none" w:sz="0" w:space="0" w:color="auto"/>
                  </w:divBdr>
                </w:div>
                <w:div w:id="1473213237">
                  <w:marLeft w:val="0"/>
                  <w:marRight w:val="0"/>
                  <w:marTop w:val="0"/>
                  <w:marBottom w:val="0"/>
                  <w:divBdr>
                    <w:top w:val="none" w:sz="0" w:space="0" w:color="auto"/>
                    <w:left w:val="none" w:sz="0" w:space="0" w:color="auto"/>
                    <w:bottom w:val="none" w:sz="0" w:space="0" w:color="auto"/>
                    <w:right w:val="none" w:sz="0" w:space="0" w:color="auto"/>
                  </w:divBdr>
                </w:div>
                <w:div w:id="1855262832">
                  <w:marLeft w:val="0"/>
                  <w:marRight w:val="0"/>
                  <w:marTop w:val="0"/>
                  <w:marBottom w:val="0"/>
                  <w:divBdr>
                    <w:top w:val="none" w:sz="0" w:space="0" w:color="auto"/>
                    <w:left w:val="none" w:sz="0" w:space="0" w:color="auto"/>
                    <w:bottom w:val="none" w:sz="0" w:space="0" w:color="auto"/>
                    <w:right w:val="none" w:sz="0" w:space="0" w:color="auto"/>
                  </w:divBdr>
                </w:div>
                <w:div w:id="733965966">
                  <w:marLeft w:val="0"/>
                  <w:marRight w:val="0"/>
                  <w:marTop w:val="0"/>
                  <w:marBottom w:val="0"/>
                  <w:divBdr>
                    <w:top w:val="none" w:sz="0" w:space="0" w:color="auto"/>
                    <w:left w:val="none" w:sz="0" w:space="0" w:color="auto"/>
                    <w:bottom w:val="none" w:sz="0" w:space="0" w:color="auto"/>
                    <w:right w:val="none" w:sz="0" w:space="0" w:color="auto"/>
                  </w:divBdr>
                </w:div>
                <w:div w:id="2001276574">
                  <w:marLeft w:val="0"/>
                  <w:marRight w:val="0"/>
                  <w:marTop w:val="0"/>
                  <w:marBottom w:val="0"/>
                  <w:divBdr>
                    <w:top w:val="none" w:sz="0" w:space="0" w:color="auto"/>
                    <w:left w:val="none" w:sz="0" w:space="0" w:color="auto"/>
                    <w:bottom w:val="none" w:sz="0" w:space="0" w:color="auto"/>
                    <w:right w:val="none" w:sz="0" w:space="0" w:color="auto"/>
                  </w:divBdr>
                </w:div>
                <w:div w:id="1399548825">
                  <w:marLeft w:val="0"/>
                  <w:marRight w:val="0"/>
                  <w:marTop w:val="0"/>
                  <w:marBottom w:val="0"/>
                  <w:divBdr>
                    <w:top w:val="none" w:sz="0" w:space="0" w:color="auto"/>
                    <w:left w:val="none" w:sz="0" w:space="0" w:color="auto"/>
                    <w:bottom w:val="none" w:sz="0" w:space="0" w:color="auto"/>
                    <w:right w:val="none" w:sz="0" w:space="0" w:color="auto"/>
                  </w:divBdr>
                </w:div>
                <w:div w:id="1644384264">
                  <w:marLeft w:val="0"/>
                  <w:marRight w:val="0"/>
                  <w:marTop w:val="0"/>
                  <w:marBottom w:val="0"/>
                  <w:divBdr>
                    <w:top w:val="none" w:sz="0" w:space="0" w:color="auto"/>
                    <w:left w:val="none" w:sz="0" w:space="0" w:color="auto"/>
                    <w:bottom w:val="none" w:sz="0" w:space="0" w:color="auto"/>
                    <w:right w:val="none" w:sz="0" w:space="0" w:color="auto"/>
                  </w:divBdr>
                </w:div>
                <w:div w:id="1431968442">
                  <w:marLeft w:val="0"/>
                  <w:marRight w:val="0"/>
                  <w:marTop w:val="0"/>
                  <w:marBottom w:val="0"/>
                  <w:divBdr>
                    <w:top w:val="none" w:sz="0" w:space="0" w:color="auto"/>
                    <w:left w:val="none" w:sz="0" w:space="0" w:color="auto"/>
                    <w:bottom w:val="none" w:sz="0" w:space="0" w:color="auto"/>
                    <w:right w:val="none" w:sz="0" w:space="0" w:color="auto"/>
                  </w:divBdr>
                </w:div>
                <w:div w:id="1710834189">
                  <w:marLeft w:val="0"/>
                  <w:marRight w:val="0"/>
                  <w:marTop w:val="0"/>
                  <w:marBottom w:val="0"/>
                  <w:divBdr>
                    <w:top w:val="none" w:sz="0" w:space="0" w:color="auto"/>
                    <w:left w:val="none" w:sz="0" w:space="0" w:color="auto"/>
                    <w:bottom w:val="none" w:sz="0" w:space="0" w:color="auto"/>
                    <w:right w:val="none" w:sz="0" w:space="0" w:color="auto"/>
                  </w:divBdr>
                </w:div>
                <w:div w:id="2080134309">
                  <w:marLeft w:val="0"/>
                  <w:marRight w:val="0"/>
                  <w:marTop w:val="0"/>
                  <w:marBottom w:val="0"/>
                  <w:divBdr>
                    <w:top w:val="none" w:sz="0" w:space="0" w:color="auto"/>
                    <w:left w:val="none" w:sz="0" w:space="0" w:color="auto"/>
                    <w:bottom w:val="none" w:sz="0" w:space="0" w:color="auto"/>
                    <w:right w:val="none" w:sz="0" w:space="0" w:color="auto"/>
                  </w:divBdr>
                </w:div>
                <w:div w:id="1715158636">
                  <w:marLeft w:val="0"/>
                  <w:marRight w:val="0"/>
                  <w:marTop w:val="0"/>
                  <w:marBottom w:val="0"/>
                  <w:divBdr>
                    <w:top w:val="none" w:sz="0" w:space="0" w:color="auto"/>
                    <w:left w:val="none" w:sz="0" w:space="0" w:color="auto"/>
                    <w:bottom w:val="none" w:sz="0" w:space="0" w:color="auto"/>
                    <w:right w:val="none" w:sz="0" w:space="0" w:color="auto"/>
                  </w:divBdr>
                </w:div>
                <w:div w:id="1300652419">
                  <w:marLeft w:val="0"/>
                  <w:marRight w:val="0"/>
                  <w:marTop w:val="0"/>
                  <w:marBottom w:val="0"/>
                  <w:divBdr>
                    <w:top w:val="none" w:sz="0" w:space="0" w:color="auto"/>
                    <w:left w:val="none" w:sz="0" w:space="0" w:color="auto"/>
                    <w:bottom w:val="none" w:sz="0" w:space="0" w:color="auto"/>
                    <w:right w:val="none" w:sz="0" w:space="0" w:color="auto"/>
                  </w:divBdr>
                </w:div>
                <w:div w:id="271012566">
                  <w:marLeft w:val="0"/>
                  <w:marRight w:val="0"/>
                  <w:marTop w:val="0"/>
                  <w:marBottom w:val="0"/>
                  <w:divBdr>
                    <w:top w:val="none" w:sz="0" w:space="0" w:color="auto"/>
                    <w:left w:val="none" w:sz="0" w:space="0" w:color="auto"/>
                    <w:bottom w:val="none" w:sz="0" w:space="0" w:color="auto"/>
                    <w:right w:val="none" w:sz="0" w:space="0" w:color="auto"/>
                  </w:divBdr>
                </w:div>
                <w:div w:id="19924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6863">
      <w:bodyDiv w:val="1"/>
      <w:marLeft w:val="0"/>
      <w:marRight w:val="0"/>
      <w:marTop w:val="0"/>
      <w:marBottom w:val="0"/>
      <w:divBdr>
        <w:top w:val="none" w:sz="0" w:space="0" w:color="auto"/>
        <w:left w:val="none" w:sz="0" w:space="0" w:color="auto"/>
        <w:bottom w:val="none" w:sz="0" w:space="0" w:color="auto"/>
        <w:right w:val="none" w:sz="0" w:space="0" w:color="auto"/>
      </w:divBdr>
    </w:div>
    <w:div w:id="21317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64.fr" TargetMode="External"/><Relationship Id="rId4" Type="http://schemas.openxmlformats.org/officeDocument/2006/relationships/settings" Target="settings.xml"/><Relationship Id="rId9" Type="http://schemas.openxmlformats.org/officeDocument/2006/relationships/hyperlink" Target="http://www.adm-64.f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B860C-C56D-4CEA-A2D8-D6AB00E2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Pages>
  <Words>712</Words>
  <Characters>3919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Service communication (Amandine DEGUIN)</dc:creator>
  <cp:lastModifiedBy>Inbar Zinck</cp:lastModifiedBy>
  <cp:revision>13</cp:revision>
  <cp:lastPrinted>2020-06-11T14:56:00Z</cp:lastPrinted>
  <dcterms:created xsi:type="dcterms:W3CDTF">2022-09-05T12:44:00Z</dcterms:created>
  <dcterms:modified xsi:type="dcterms:W3CDTF">2022-09-14T07:15:00Z</dcterms:modified>
</cp:coreProperties>
</file>